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1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QUARTERLY REPORT PURSUANT TO SECTION 13 OR 15(d) OF THE SECURITIES EXCHANGE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  to 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001-33245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EMPLOYERS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89" w:type="dxa"/>
        <w:jc w:val="center"/>
        <w:tblInd w:w="0" w:type="dxa"/>
        <w:tblLayout w:type="fixed"/>
        <w:tblCellMar>
          <w:top w:w="28" w:type="dxa"/>
          <w:left w:w="28" w:type="dxa"/>
          <w:bottom w:w="28" w:type="dxa"/>
          <w:right w:w="28" w:type="dxa"/>
        </w:tblCellMar>
      </w:tblPr>
      <w:tblGrid>
        <w:gridCol w:w="1008"/>
        <w:gridCol w:w="888"/>
        <w:gridCol w:w="893"/>
        <w:gridCol w:w="250"/>
        <w:gridCol w:w="250"/>
        <w:gridCol w:w="251"/>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04-3850065</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51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5340 Kietzke Lane, Suite 202</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Reno,</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89511</w:t>
            </w:r>
          </w:p>
        </w:tc>
      </w:tr>
      <w:tr>
        <w:trPr/>
        <w:tc>
          <w:tcPr>
            <w:tcW w:w="5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682-6671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20" w:after="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0" w:after="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789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9"/>
        <w:gridCol w:w="419"/>
        <w:gridCol w:w="421"/>
        <w:gridCol w:w="109"/>
        <w:gridCol w:w="109"/>
        <w:gridCol w:w="109"/>
        <w:gridCol w:w="524"/>
        <w:gridCol w:w="524"/>
        <w:gridCol w:w="526"/>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 w:after="14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28, 2026, there were 17,960,506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jc w:val="center"/>
        <w:rPr/>
      </w:pPr>
      <w:hyperlink w:anchor="i3ae35fba5d3149bfaf59b20a5f9894b6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1"/>
        <w:gridCol w:w="245"/>
        <w:gridCol w:w="245"/>
        <w:gridCol w:w="2746"/>
        <w:gridCol w:w="2676"/>
        <w:gridCol w:w="2682"/>
        <w:gridCol w:w="379"/>
        <w:gridCol w:w="379"/>
        <w:gridCol w:w="552"/>
      </w:tblGrid>
      <w:tr>
        <w:trPr/>
        <w:tc>
          <w:tcPr>
            <w:tcW w:w="3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br/>
              <w:t>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6">
              <w:r>
                <w:rPr>
                  <w:rStyle w:val="InternetLink"/>
                  <w:rFonts w:ascii="Times New Roman;serif" w:hAnsi="Times New Roman;serif"/>
                  <w:b w:val="false"/>
                  <w:color w:val="0000FF"/>
                  <w:sz w:val="20"/>
                  <w:u w:val="single"/>
                </w:rPr>
                <w:t>PART I – FINANCIAL INFORMATION</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6">
              <w:r>
                <w:rPr>
                  <w:rStyle w:val="InternetLink"/>
                  <w:rFonts w:ascii="Times New Roman;serif" w:hAnsi="Times New Roman;serif"/>
                  <w:b w:val="false"/>
                  <w:color w:val="0000FF"/>
                  <w:sz w:val="20"/>
                  <w:u w:val="single"/>
                </w:rPr>
                <w:t>Item 1</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6">
              <w:r>
                <w:rPr>
                  <w:rStyle w:val="InternetLink"/>
                  <w:rFonts w:ascii="Times New Roman;serif" w:hAnsi="Times New Roman;serif"/>
                  <w:b w:val="false"/>
                  <w:color w:val="0000FF"/>
                  <w:sz w:val="20"/>
                  <w:u w:val="single"/>
                </w:rPr>
                <w:t>Consolidated Financial Statements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ae35fba5d3149bfaf59b20a5f9894b6_19">
              <w:r>
                <w:rPr>
                  <w:rStyle w:val="InternetLink"/>
                  <w:rFonts w:ascii="Times New Roman;serif" w:hAnsi="Times New Roman;serif"/>
                  <w:b w:val="false"/>
                  <w:color w:val="000080"/>
                  <w:sz w:val="20"/>
                  <w:u w:val="single"/>
                </w:rPr>
                <w:t xml:space="preserve">Consolidated Balance Sheets as of </w:t>
              </w:r>
            </w:hyperlink>
            <w:hyperlink w:anchor="i3ae35fba5d3149bfaf59b20a5f9894b6_19">
              <w:r>
                <w:rPr>
                  <w:rStyle w:val="InternetLink"/>
                  <w:rFonts w:ascii="Times New Roman;serif" w:hAnsi="Times New Roman;serif"/>
                  <w:b w:val="false"/>
                  <w:color w:val="000080"/>
                  <w:sz w:val="20"/>
                  <w:u w:val="single"/>
                </w:rPr>
                <w:t>Ju</w:t>
              </w:r>
            </w:hyperlink>
            <w:hyperlink w:anchor="i3ae35fba5d3149bfaf59b20a5f9894b6_19">
              <w:r>
                <w:rPr>
                  <w:rStyle w:val="InternetLink"/>
                  <w:rFonts w:ascii="Times New Roman;serif" w:hAnsi="Times New Roman;serif"/>
                  <w:b w:val="false"/>
                  <w:color w:val="000080"/>
                  <w:sz w:val="20"/>
                  <w:u w:val="single"/>
                </w:rPr>
                <w:t>ne 30</w:t>
              </w:r>
            </w:hyperlink>
            <w:hyperlink w:anchor="i3ae35fba5d3149bfaf59b20a5f9894b6_19">
              <w:r>
                <w:rPr>
                  <w:rStyle w:val="InternetLink"/>
                  <w:rFonts w:ascii="Times New Roman;serif" w:hAnsi="Times New Roman;serif"/>
                  <w:b w:val="false"/>
                  <w:color w:val="000080"/>
                  <w:sz w:val="20"/>
                  <w:u w:val="single"/>
                </w:rPr>
                <w:t>, 2026 (Unaudited) and December 31, 2025</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9">
              <w:r>
                <w:rPr>
                  <w:rStyle w:val="InternetLink"/>
                  <w:rFonts w:ascii="Times New Roman;serif" w:hAnsi="Times New Roman;serif"/>
                  <w:b w:val="false"/>
                  <w:color w:val="0000FF"/>
                  <w:sz w:val="20"/>
                  <w:u w:val="single"/>
                </w:rPr>
                <w:t>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ae35fba5d3149bfaf59b20a5f9894b6_25">
              <w:r>
                <w:rPr>
                  <w:rStyle w:val="InternetLink"/>
                  <w:rFonts w:ascii="Times New Roman;serif" w:hAnsi="Times New Roman;serif"/>
                  <w:b w:val="false"/>
                  <w:color w:val="000080"/>
                  <w:sz w:val="20"/>
                  <w:u w:val="single"/>
                </w:rPr>
                <w:t>Consolidated Statements of Comprehensive Income (Loss) for the</w:t>
              </w:r>
            </w:hyperlink>
            <w:hyperlink w:anchor="i3ae35fba5d3149bfaf59b20a5f9894b6_25">
              <w:r>
                <w:rPr>
                  <w:rStyle w:val="InternetLink"/>
                  <w:rFonts w:ascii="Times New Roman;serif" w:hAnsi="Times New Roman;serif"/>
                  <w:b w:val="false"/>
                  <w:color w:val="000080"/>
                  <w:sz w:val="20"/>
                  <w:u w:val="single"/>
                </w:rPr>
                <w:t xml:space="preserve"> Three and</w:t>
              </w:r>
            </w:hyperlink>
            <w:hyperlink w:anchor="i3ae35fba5d3149bfaf59b20a5f9894b6_25">
              <w:r>
                <w:rPr>
                  <w:rStyle w:val="InternetLink"/>
                  <w:rFonts w:ascii="Times New Roman;serif" w:hAnsi="Times New Roman;serif"/>
                  <w:b w:val="false"/>
                  <w:color w:val="000080"/>
                  <w:sz w:val="20"/>
                  <w:u w:val="single"/>
                </w:rPr>
                <w:t xml:space="preserve"> </w:t>
              </w:r>
            </w:hyperlink>
            <w:hyperlink w:anchor="i3ae35fba5d3149bfaf59b20a5f9894b6_25">
              <w:r>
                <w:rPr>
                  <w:rStyle w:val="InternetLink"/>
                  <w:rFonts w:ascii="Times New Roman;serif" w:hAnsi="Times New Roman;serif"/>
                  <w:b w:val="false"/>
                  <w:color w:val="000080"/>
                  <w:sz w:val="20"/>
                  <w:u w:val="single"/>
                </w:rPr>
                <w:t>Six</w:t>
              </w:r>
            </w:hyperlink>
            <w:hyperlink w:anchor="i3ae35fba5d3149bfaf59b20a5f9894b6_25">
              <w:r>
                <w:rPr>
                  <w:rStyle w:val="InternetLink"/>
                  <w:rFonts w:ascii="Times New Roman;serif" w:hAnsi="Times New Roman;serif"/>
                  <w:b w:val="false"/>
                  <w:color w:val="000080"/>
                  <w:sz w:val="20"/>
                  <w:u w:val="single"/>
                </w:rPr>
                <w:t xml:space="preserve"> Months Ended </w:t>
              </w:r>
            </w:hyperlink>
            <w:hyperlink w:anchor="i3ae35fba5d3149bfaf59b20a5f9894b6_25">
              <w:r>
                <w:rPr>
                  <w:rStyle w:val="InternetLink"/>
                  <w:rFonts w:ascii="Times New Roman;serif" w:hAnsi="Times New Roman;serif"/>
                  <w:b w:val="false"/>
                  <w:color w:val="000080"/>
                  <w:sz w:val="20"/>
                  <w:u w:val="single"/>
                </w:rPr>
                <w:t>June</w:t>
              </w:r>
            </w:hyperlink>
            <w:hyperlink w:anchor="i3ae35fba5d3149bfaf59b20a5f9894b6_25">
              <w:r>
                <w:rPr>
                  <w:rStyle w:val="InternetLink"/>
                  <w:rFonts w:ascii="Times New Roman;serif" w:hAnsi="Times New Roman;serif"/>
                  <w:b w:val="false"/>
                  <w:color w:val="000080"/>
                  <w:sz w:val="20"/>
                  <w:u w:val="single"/>
                </w:rPr>
                <w:t xml:space="preserve"> 3</w:t>
              </w:r>
            </w:hyperlink>
            <w:hyperlink w:anchor="i3ae35fba5d3149bfaf59b20a5f9894b6_25">
              <w:r>
                <w:rPr>
                  <w:rStyle w:val="InternetLink"/>
                  <w:rFonts w:ascii="Times New Roman;serif" w:hAnsi="Times New Roman;serif"/>
                  <w:b w:val="false"/>
                  <w:color w:val="000080"/>
                  <w:sz w:val="20"/>
                  <w:u w:val="single"/>
                </w:rPr>
                <w:t>0</w:t>
              </w:r>
            </w:hyperlink>
            <w:hyperlink w:anchor="i3ae35fba5d3149bfaf59b20a5f9894b6_25">
              <w:r>
                <w:rPr>
                  <w:rStyle w:val="InternetLink"/>
                  <w:rFonts w:ascii="Times New Roman;serif" w:hAnsi="Times New Roman;serif"/>
                  <w:b w:val="false"/>
                  <w:color w:val="000080"/>
                  <w:sz w:val="20"/>
                  <w:u w:val="single"/>
                </w:rPr>
                <w:t>, 2026 and 2025 (Unaudited)</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25">
              <w:r>
                <w:rPr>
                  <w:rStyle w:val="InternetLink"/>
                  <w:rFonts w:ascii="Times New Roman;serif" w:hAnsi="Times New Roman;serif"/>
                  <w:b w:val="false"/>
                  <w:color w:val="0000FF"/>
                  <w:sz w:val="20"/>
                  <w:u w:val="single"/>
                </w:rPr>
                <w:t>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ae35fba5d3149bfaf59b20a5f9894b6_31">
              <w:r>
                <w:rPr>
                  <w:rStyle w:val="InternetLink"/>
                  <w:rFonts w:ascii="Times New Roman;serif" w:hAnsi="Times New Roman;serif"/>
                  <w:b w:val="false"/>
                  <w:color w:val="000080"/>
                  <w:sz w:val="20"/>
                  <w:u w:val="single"/>
                </w:rPr>
                <w:t>Consolidated Statements of Stockholders’ Equity for the</w:t>
              </w:r>
            </w:hyperlink>
            <w:hyperlink w:anchor="i3ae35fba5d3149bfaf59b20a5f9894b6_31">
              <w:r>
                <w:rPr>
                  <w:rStyle w:val="InternetLink"/>
                  <w:rFonts w:ascii="Times New Roman;serif" w:hAnsi="Times New Roman;serif"/>
                  <w:b w:val="false"/>
                  <w:color w:val="000080"/>
                  <w:sz w:val="20"/>
                  <w:u w:val="single"/>
                </w:rPr>
                <w:t xml:space="preserve"> Three and</w:t>
              </w:r>
            </w:hyperlink>
            <w:hyperlink w:anchor="i3ae35fba5d3149bfaf59b20a5f9894b6_31">
              <w:r>
                <w:rPr>
                  <w:rStyle w:val="InternetLink"/>
                  <w:rFonts w:ascii="Times New Roman;serif" w:hAnsi="Times New Roman;serif"/>
                  <w:b w:val="false"/>
                  <w:color w:val="000080"/>
                  <w:sz w:val="20"/>
                  <w:u w:val="single"/>
                </w:rPr>
                <w:t xml:space="preserve"> </w:t>
              </w:r>
            </w:hyperlink>
            <w:hyperlink w:anchor="i3ae35fba5d3149bfaf59b20a5f9894b6_31">
              <w:r>
                <w:rPr>
                  <w:rStyle w:val="InternetLink"/>
                  <w:rFonts w:ascii="Times New Roman;serif" w:hAnsi="Times New Roman;serif"/>
                  <w:b w:val="false"/>
                  <w:color w:val="000080"/>
                  <w:sz w:val="20"/>
                  <w:u w:val="single"/>
                </w:rPr>
                <w:t xml:space="preserve">Six </w:t>
              </w:r>
            </w:hyperlink>
            <w:hyperlink w:anchor="i3ae35fba5d3149bfaf59b20a5f9894b6_31">
              <w:r>
                <w:rPr>
                  <w:rStyle w:val="InternetLink"/>
                  <w:rFonts w:ascii="Times New Roman;serif" w:hAnsi="Times New Roman;serif"/>
                  <w:b w:val="false"/>
                  <w:color w:val="000080"/>
                  <w:sz w:val="20"/>
                  <w:u w:val="single"/>
                </w:rPr>
                <w:t xml:space="preserve">Months Ended </w:t>
              </w:r>
            </w:hyperlink>
            <w:hyperlink w:anchor="i3ae35fba5d3149bfaf59b20a5f9894b6_31">
              <w:r>
                <w:rPr>
                  <w:rStyle w:val="InternetLink"/>
                  <w:rFonts w:ascii="Times New Roman;serif" w:hAnsi="Times New Roman;serif"/>
                  <w:b w:val="false"/>
                  <w:color w:val="000080"/>
                  <w:sz w:val="20"/>
                  <w:u w:val="single"/>
                </w:rPr>
                <w:t>June 30</w:t>
              </w:r>
            </w:hyperlink>
            <w:hyperlink w:anchor="i3ae35fba5d3149bfaf59b20a5f9894b6_31">
              <w:r>
                <w:rPr>
                  <w:rStyle w:val="InternetLink"/>
                  <w:rFonts w:ascii="Times New Roman;serif" w:hAnsi="Times New Roman;serif"/>
                  <w:b w:val="false"/>
                  <w:color w:val="000080"/>
                  <w:sz w:val="20"/>
                  <w:u w:val="single"/>
                </w:rPr>
                <w:t>, 2026 and 2025 (Unaudited)</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31">
              <w:r>
                <w:rPr>
                  <w:rStyle w:val="InternetLink"/>
                  <w:rFonts w:ascii="Times New Roman;serif" w:hAnsi="Times New Roman;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ae35fba5d3149bfaf59b20a5f9894b6_37">
              <w:r>
                <w:rPr>
                  <w:rStyle w:val="InternetLink"/>
                  <w:rFonts w:ascii="Times New Roman;serif" w:hAnsi="Times New Roman;serif"/>
                  <w:b w:val="false"/>
                  <w:color w:val="000080"/>
                  <w:sz w:val="20"/>
                  <w:u w:val="single"/>
                </w:rPr>
                <w:t xml:space="preserve">Consolidated Statements of Cash Flows for the </w:t>
              </w:r>
            </w:hyperlink>
            <w:hyperlink w:anchor="i3ae35fba5d3149bfaf59b20a5f9894b6_37">
              <w:r>
                <w:rPr>
                  <w:rStyle w:val="InternetLink"/>
                  <w:rFonts w:ascii="Times New Roman;serif" w:hAnsi="Times New Roman;serif"/>
                  <w:b w:val="false"/>
                  <w:color w:val="000080"/>
                  <w:sz w:val="20"/>
                  <w:u w:val="single"/>
                </w:rPr>
                <w:t>S</w:t>
              </w:r>
            </w:hyperlink>
            <w:hyperlink w:anchor="i3ae35fba5d3149bfaf59b20a5f9894b6_37">
              <w:r>
                <w:rPr>
                  <w:rStyle w:val="InternetLink"/>
                  <w:rFonts w:ascii="Times New Roman;serif" w:hAnsi="Times New Roman;serif"/>
                  <w:b w:val="false"/>
                  <w:color w:val="000080"/>
                  <w:sz w:val="20"/>
                  <w:u w:val="single"/>
                </w:rPr>
                <w:t>ix</w:t>
              </w:r>
            </w:hyperlink>
            <w:hyperlink w:anchor="i3ae35fba5d3149bfaf59b20a5f9894b6_37">
              <w:r>
                <w:rPr>
                  <w:rStyle w:val="InternetLink"/>
                  <w:rFonts w:ascii="Times New Roman;serif" w:hAnsi="Times New Roman;serif"/>
                  <w:b w:val="false"/>
                  <w:color w:val="000080"/>
                  <w:sz w:val="20"/>
                  <w:u w:val="single"/>
                </w:rPr>
                <w:t xml:space="preserve"> Months Ended </w:t>
              </w:r>
            </w:hyperlink>
            <w:hyperlink w:anchor="i3ae35fba5d3149bfaf59b20a5f9894b6_37">
              <w:r>
                <w:rPr>
                  <w:rStyle w:val="InternetLink"/>
                  <w:rFonts w:ascii="Times New Roman;serif" w:hAnsi="Times New Roman;serif"/>
                  <w:b w:val="false"/>
                  <w:color w:val="000080"/>
                  <w:sz w:val="20"/>
                  <w:u w:val="single"/>
                </w:rPr>
                <w:t>June 30</w:t>
              </w:r>
            </w:hyperlink>
            <w:hyperlink w:anchor="i3ae35fba5d3149bfaf59b20a5f9894b6_37">
              <w:r>
                <w:rPr>
                  <w:rStyle w:val="InternetLink"/>
                  <w:rFonts w:ascii="Times New Roman;serif" w:hAnsi="Times New Roman;serif"/>
                  <w:b w:val="false"/>
                  <w:color w:val="000080"/>
                  <w:sz w:val="20"/>
                  <w:u w:val="single"/>
                </w:rPr>
                <w:t>, 2026 and 2025 (Unaudited)</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37">
              <w:r>
                <w:rPr>
                  <w:rStyle w:val="InternetLink"/>
                  <w:rFonts w:ascii="Times New Roman;serif" w:hAnsi="Times New Roman;serif"/>
                  <w:b w:val="false"/>
                  <w:color w:val="0000FF"/>
                  <w:sz w:val="20"/>
                  <w:u w:val="single"/>
                </w:rPr>
                <w:t>7</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40">
              <w:r>
                <w:rPr>
                  <w:rStyle w:val="InternetLink"/>
                  <w:rFonts w:ascii="Times New Roman;serif" w:hAnsi="Times New Roman;serif"/>
                  <w:b w:val="false"/>
                  <w:color w:val="0000FF"/>
                  <w:sz w:val="20"/>
                  <w:u w:val="single"/>
                </w:rPr>
                <w:t>Notes to Consolidated Financial Statements (Unaudited)</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40">
              <w:r>
                <w:rPr>
                  <w:rStyle w:val="InternetLink"/>
                  <w:rFonts w:ascii="Times New Roman;serif" w:hAnsi="Times New Roman;serif"/>
                  <w:b w:val="false"/>
                  <w:color w:val="0000FF"/>
                  <w:sz w:val="20"/>
                  <w:u w:val="single"/>
                </w:rPr>
                <w:t>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88">
              <w:r>
                <w:rPr>
                  <w:rStyle w:val="InternetLink"/>
                  <w:rFonts w:ascii="Times New Roman;serif" w:hAnsi="Times New Roman;serif"/>
                  <w:b w:val="false"/>
                  <w:color w:val="0000FF"/>
                  <w:sz w:val="20"/>
                  <w:u w:val="single"/>
                </w:rPr>
                <w:t>Item 2</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88">
              <w:r>
                <w:rPr>
                  <w:rStyle w:val="InternetLink"/>
                  <w:rFonts w:ascii="Times New Roman;serif" w:hAnsi="Times New Roman;serif"/>
                  <w:b w:val="false"/>
                  <w:color w:val="0000FF"/>
                  <w:sz w:val="20"/>
                  <w:u w:val="single"/>
                </w:rPr>
                <w:t>Management’s Discussion and Analysis of Consolidated Financial Condition and Results of Operations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88">
              <w:r>
                <w:rPr>
                  <w:rStyle w:val="InternetLink"/>
                  <w:rFonts w:ascii="Times New Roman;serif" w:hAnsi="Times New Roman;serif"/>
                  <w:b w:val="false"/>
                  <w:color w:val="0000FF"/>
                  <w:sz w:val="20"/>
                  <w:u w:val="single"/>
                </w:rPr>
                <w:t>29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06">
              <w:r>
                <w:rPr>
                  <w:rStyle w:val="InternetLink"/>
                  <w:rFonts w:ascii="Times New Roman;serif" w:hAnsi="Times New Roman;serif"/>
                  <w:b w:val="false"/>
                  <w:color w:val="0000FF"/>
                  <w:sz w:val="20"/>
                  <w:u w:val="single"/>
                </w:rPr>
                <w:t>Item 3</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06">
              <w:r>
                <w:rPr>
                  <w:rStyle w:val="InternetLink"/>
                  <w:rFonts w:ascii="Times New Roman;serif" w:hAnsi="Times New Roman;serif"/>
                  <w:b w:val="false"/>
                  <w:color w:val="0000FF"/>
                  <w:sz w:val="20"/>
                  <w:u w:val="single"/>
                </w:rPr>
                <w:t>Quantitative and Qualitative Disclosures About Market Risk</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06">
              <w:r>
                <w:rPr>
                  <w:rStyle w:val="InternetLink"/>
                  <w:rFonts w:ascii="Times New Roman;serif" w:hAnsi="Times New Roman;serif"/>
                  <w:b w:val="false"/>
                  <w:color w:val="0000FF"/>
                  <w:sz w:val="20"/>
                  <w:u w:val="single"/>
                </w:rPr>
                <w:t>42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09">
              <w:r>
                <w:rPr>
                  <w:rStyle w:val="InternetLink"/>
                  <w:rFonts w:ascii="Times New Roman;serif" w:hAnsi="Times New Roman;serif"/>
                  <w:b w:val="false"/>
                  <w:color w:val="0000FF"/>
                  <w:sz w:val="20"/>
                  <w:u w:val="single"/>
                </w:rPr>
                <w:t>Item 4</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09">
              <w:r>
                <w:rPr>
                  <w:rStyle w:val="InternetLink"/>
                  <w:rFonts w:ascii="Times New Roman;serif" w:hAnsi="Times New Roman;serif"/>
                  <w:b w:val="false"/>
                  <w:color w:val="0000FF"/>
                  <w:sz w:val="20"/>
                  <w:u w:val="single"/>
                </w:rPr>
                <w:t>Controls and Procedures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09">
              <w:r>
                <w:rPr>
                  <w:rStyle w:val="InternetLink"/>
                  <w:rFonts w:ascii="Times New Roman;serif" w:hAnsi="Times New Roman;serif"/>
                  <w:b w:val="false"/>
                  <w:color w:val="0000FF"/>
                  <w:sz w:val="20"/>
                  <w:u w:val="single"/>
                </w:rPr>
                <w:t>44</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12">
              <w:r>
                <w:rPr>
                  <w:rStyle w:val="InternetLink"/>
                  <w:rFonts w:ascii="Times New Roman;serif" w:hAnsi="Times New Roman;serif"/>
                  <w:b w:val="false"/>
                  <w:color w:val="0000FF"/>
                  <w:sz w:val="20"/>
                  <w:u w:val="single"/>
                </w:rPr>
                <w:t>PART II – OTHER INFORMATION</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15">
              <w:r>
                <w:rPr>
                  <w:rStyle w:val="InternetLink"/>
                  <w:rFonts w:ascii="Times New Roman;serif" w:hAnsi="Times New Roman;serif"/>
                  <w:b w:val="false"/>
                  <w:color w:val="0000FF"/>
                  <w:sz w:val="20"/>
                  <w:u w:val="single"/>
                </w:rPr>
                <w:t>Item 1</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15">
              <w:r>
                <w:rPr>
                  <w:rStyle w:val="InternetLink"/>
                  <w:rFonts w:ascii="Times New Roman;serif" w:hAnsi="Times New Roman;serif"/>
                  <w:b w:val="false"/>
                  <w:color w:val="0000FF"/>
                  <w:sz w:val="20"/>
                  <w:u w:val="single"/>
                </w:rPr>
                <w:t>Legal Proceedings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15">
              <w:r>
                <w:rPr>
                  <w:rStyle w:val="InternetLink"/>
                  <w:rFonts w:ascii="Times New Roman;serif" w:hAnsi="Times New Roman;serif"/>
                  <w:b w:val="false"/>
                  <w:color w:val="0000FF"/>
                  <w:sz w:val="20"/>
                  <w:u w:val="singl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18">
              <w:r>
                <w:rPr>
                  <w:rStyle w:val="InternetLink"/>
                  <w:rFonts w:ascii="Times New Roman;serif" w:hAnsi="Times New Roman;serif"/>
                  <w:b w:val="false"/>
                  <w:color w:val="0000FF"/>
                  <w:sz w:val="20"/>
                  <w:u w:val="single"/>
                </w:rPr>
                <w:t>Item 1A</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18">
              <w:r>
                <w:rPr>
                  <w:rStyle w:val="InternetLink"/>
                  <w:rFonts w:ascii="Times New Roman;serif" w:hAnsi="Times New Roman;serif"/>
                  <w:b w:val="false"/>
                  <w:color w:val="0000FF"/>
                  <w:sz w:val="20"/>
                  <w:u w:val="single"/>
                </w:rPr>
                <w:t>Risk Factors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18">
              <w:r>
                <w:rPr>
                  <w:rStyle w:val="InternetLink"/>
                  <w:rFonts w:ascii="Times New Roman;serif" w:hAnsi="Times New Roman;serif"/>
                  <w:b w:val="false"/>
                  <w:color w:val="0000FF"/>
                  <w:sz w:val="20"/>
                  <w:u w:val="singl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21">
              <w:r>
                <w:rPr>
                  <w:rStyle w:val="InternetLink"/>
                  <w:rFonts w:ascii="Times New Roman;serif" w:hAnsi="Times New Roman;serif"/>
                  <w:b w:val="false"/>
                  <w:color w:val="0000FF"/>
                  <w:sz w:val="20"/>
                  <w:u w:val="single"/>
                </w:rPr>
                <w:t>Item 2</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21">
              <w:r>
                <w:rPr>
                  <w:rStyle w:val="InternetLink"/>
                  <w:rFonts w:ascii="Times New Roman;serif" w:hAnsi="Times New Roman;serif"/>
                  <w:b w:val="false"/>
                  <w:color w:val="0000FF"/>
                  <w:sz w:val="20"/>
                  <w:u w:val="single"/>
                </w:rPr>
                <w:t>Unregistered Sales of Equity Securities and Use of Proceeds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21">
              <w:r>
                <w:rPr>
                  <w:rStyle w:val="InternetLink"/>
                  <w:rFonts w:ascii="Times New Roman;serif" w:hAnsi="Times New Roman;serif"/>
                  <w:b w:val="false"/>
                  <w:color w:val="0000FF"/>
                  <w:sz w:val="20"/>
                  <w:u w:val="singl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24">
              <w:r>
                <w:rPr>
                  <w:rStyle w:val="InternetLink"/>
                  <w:rFonts w:ascii="Times New Roman;serif" w:hAnsi="Times New Roman;serif"/>
                  <w:b w:val="false"/>
                  <w:color w:val="0000FF"/>
                  <w:sz w:val="20"/>
                  <w:u w:val="single"/>
                </w:rPr>
                <w:t>Item 3</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24">
              <w:r>
                <w:rPr>
                  <w:rStyle w:val="InternetLink"/>
                  <w:rFonts w:ascii="Times New Roman;serif" w:hAnsi="Times New Roman;serif"/>
                  <w:b w:val="false"/>
                  <w:color w:val="0000FF"/>
                  <w:sz w:val="20"/>
                  <w:u w:val="single"/>
                </w:rPr>
                <w:t>Defaults Upon Senior Securities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24">
              <w:r>
                <w:rPr>
                  <w:rStyle w:val="InternetLink"/>
                  <w:rFonts w:ascii="Times New Roman;serif" w:hAnsi="Times New Roman;serif"/>
                  <w:b w:val="false"/>
                  <w:color w:val="0000FF"/>
                  <w:sz w:val="20"/>
                  <w:u w:val="singl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27">
              <w:r>
                <w:rPr>
                  <w:rStyle w:val="InternetLink"/>
                  <w:rFonts w:ascii="Times New Roman;serif" w:hAnsi="Times New Roman;serif"/>
                  <w:b w:val="false"/>
                  <w:color w:val="0000FF"/>
                  <w:sz w:val="20"/>
                  <w:u w:val="single"/>
                </w:rPr>
                <w:t>Item 4</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27">
              <w:r>
                <w:rPr>
                  <w:rStyle w:val="InternetLink"/>
                  <w:rFonts w:ascii="Times New Roman;serif" w:hAnsi="Times New Roman;serif"/>
                  <w:b w:val="false"/>
                  <w:color w:val="0000FF"/>
                  <w:sz w:val="20"/>
                  <w:u w:val="single"/>
                </w:rPr>
                <w:t>Mine Safety Disclosures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27">
              <w:r>
                <w:rPr>
                  <w:rStyle w:val="InternetLink"/>
                  <w:rFonts w:ascii="Times New Roman;serif" w:hAnsi="Times New Roman;serif"/>
                  <w:b w:val="false"/>
                  <w:color w:val="0000FF"/>
                  <w:sz w:val="20"/>
                  <w:u w:val="singl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30">
              <w:r>
                <w:rPr>
                  <w:rStyle w:val="InternetLink"/>
                  <w:rFonts w:ascii="Times New Roman;serif" w:hAnsi="Times New Roman;serif"/>
                  <w:b w:val="false"/>
                  <w:color w:val="0000FF"/>
                  <w:sz w:val="20"/>
                  <w:u w:val="single"/>
                </w:rPr>
                <w:t>Item 5</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30">
              <w:r>
                <w:rPr>
                  <w:rStyle w:val="InternetLink"/>
                  <w:rFonts w:ascii="Times New Roman;serif" w:hAnsi="Times New Roman;serif"/>
                  <w:b w:val="false"/>
                  <w:color w:val="0000FF"/>
                  <w:sz w:val="20"/>
                  <w:u w:val="single"/>
                </w:rPr>
                <w:t>Other Information</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30">
              <w:r>
                <w:rPr>
                  <w:rStyle w:val="InternetLink"/>
                  <w:rFonts w:ascii="Times New Roman;serif" w:hAnsi="Times New Roman;serif"/>
                  <w:b w:val="false"/>
                  <w:color w:val="0000FF"/>
                  <w:sz w:val="20"/>
                  <w:u w:val="single"/>
                </w:rPr>
                <w:t>45</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33">
              <w:r>
                <w:rPr>
                  <w:rStyle w:val="InternetLink"/>
                  <w:rFonts w:ascii="Times New Roman;serif" w:hAnsi="Times New Roman;serif"/>
                  <w:b w:val="false"/>
                  <w:color w:val="0000FF"/>
                  <w:sz w:val="20"/>
                  <w:u w:val="single"/>
                </w:rPr>
                <w:t>Item 6</w:t>
              </w:r>
            </w:hyperlink>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33">
              <w:r>
                <w:rPr>
                  <w:rStyle w:val="InternetLink"/>
                  <w:rFonts w:ascii="Times New Roman;serif" w:hAnsi="Times New Roman;serif"/>
                  <w:b w:val="false"/>
                  <w:color w:val="0000FF"/>
                  <w:sz w:val="20"/>
                  <w:u w:val="single"/>
                </w:rPr>
                <w:t>Exhibits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33">
              <w:r>
                <w:rPr>
                  <w:rStyle w:val="InternetLink"/>
                  <w:rFonts w:ascii="Times New Roman;serif" w:hAnsi="Times New Roman;serif"/>
                  <w:b w:val="false"/>
                  <w:color w:val="0000FF"/>
                  <w:sz w:val="20"/>
                  <w:u w:val="single"/>
                </w:rPr>
                <w:t>46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ae35fba5d3149bfaf59b20a5f9894b6_136">
              <w:r>
                <w:rPr>
                  <w:rStyle w:val="InternetLink"/>
                  <w:rFonts w:ascii="Times New Roman;serif" w:hAnsi="Times New Roman;serif"/>
                  <w:b w:val="false"/>
                  <w:color w:val="0000FF"/>
                  <w:sz w:val="20"/>
                  <w:u w:val="single"/>
                </w:rPr>
                <w:t>Signatures</w:t>
              </w:r>
            </w:hyperlink>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e35fba5d3149bfaf59b20a5f9894b6_136">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120"/>
        <w:jc w:val="center"/>
        <w:rPr/>
      </w:pPr>
      <w:r>
        <w:rPr>
          <w:rFonts w:ascii="Times New Roman;serif" w:hAnsi="Times New Roman;serif"/>
          <w:b/>
          <w:color w:val="000000"/>
          <w:sz w:val="20"/>
        </w:rPr>
        <w:t>PART I</w:t>
      </w:r>
      <w:r>
        <w:rPr>
          <w:color w:val="000000"/>
        </w:rPr>
        <w:t xml:space="preserve"> – </w:t>
      </w:r>
      <w:r>
        <w:rPr>
          <w:rFonts w:ascii="Times New Roman;serif" w:hAnsi="Times New Roman;serif"/>
          <w:b/>
          <w:color w:val="000000"/>
          <w:sz w:val="20"/>
        </w:rPr>
        <w:t>FINANCIAL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Consolidated Financial Statements</w:t>
      </w:r>
    </w:p>
    <w:tbl>
      <w:tblPr>
        <w:tblW w:w="10205" w:type="dxa"/>
        <w:jc w:val="center"/>
        <w:tblInd w:w="0" w:type="dxa"/>
        <w:tblLayout w:type="fixed"/>
        <w:tblCellMar>
          <w:top w:w="28" w:type="dxa"/>
          <w:left w:w="28" w:type="dxa"/>
          <w:bottom w:w="28" w:type="dxa"/>
          <w:right w:w="28" w:type="dxa"/>
        </w:tblCellMar>
      </w:tblPr>
      <w:tblGrid>
        <w:gridCol w:w="2665"/>
        <w:gridCol w:w="2226"/>
        <w:gridCol w:w="2254"/>
        <w:gridCol w:w="116"/>
        <w:gridCol w:w="116"/>
        <w:gridCol w:w="116"/>
        <w:gridCol w:w="224"/>
        <w:gridCol w:w="816"/>
        <w:gridCol w:w="116"/>
        <w:gridCol w:w="116"/>
        <w:gridCol w:w="116"/>
        <w:gridCol w:w="116"/>
        <w:gridCol w:w="224"/>
        <w:gridCol w:w="816"/>
        <w:gridCol w:w="168"/>
      </w:tblGrid>
      <w:tr>
        <w:trPr/>
        <w:tc>
          <w:tcPr>
            <w:tcW w:w="266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Employers Holdings,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share data)</w:t>
            </w:r>
          </w:p>
        </w:tc>
      </w:tr>
      <w:tr>
        <w:trPr/>
        <w:tc>
          <w:tcPr>
            <w:tcW w:w="7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maturity securities at fair value (amortized cost $2,054.5 at June 30, 2026 and $2,031.8 at December 31, 2025, less CECL allowance of $1.1 at June 30, 2026 and $0.4 at December 31, 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 (cost $87.1 at June 30, 2026 and $96.5 at December 31, 2025)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securities at cost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invested assets (cost $77.4 at June 30, 2026 and $79.4 at December 31, 2025)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 (amortized cost $21.7 at June 30, 2026 and $10.1 at December 31, 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Premiums receivable (less CECL allowance of $24.7 at June 30, 2026 and $22.6 at December 31, 2025)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for:</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Paid losses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Unpaid losses (less CECL allowance of $0.8 at June 30, 2026 and $0.8 at December 31, 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taxes recoverable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 net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arrangements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loss adjustment expenses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premium taxes payable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gain—LPT Agreement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Non-cancellable obligations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2,480.9 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3 and 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60" w:after="120"/>
        <w:jc w:val="both"/>
        <w:rPr/>
      </w:pPr>
      <w:r>
        <w:rPr/>
      </w:r>
    </w:p>
    <w:tbl>
      <w:tblPr>
        <w:tblW w:w="10205" w:type="dxa"/>
        <w:jc w:val="center"/>
        <w:tblInd w:w="0" w:type="dxa"/>
        <w:tblLayout w:type="fixed"/>
        <w:tblCellMar>
          <w:top w:w="28" w:type="dxa"/>
          <w:left w:w="28" w:type="dxa"/>
          <w:bottom w:w="28" w:type="dxa"/>
          <w:right w:w="28" w:type="dxa"/>
        </w:tblCellMar>
      </w:tblPr>
      <w:tblGrid>
        <w:gridCol w:w="2624"/>
        <w:gridCol w:w="2262"/>
        <w:gridCol w:w="2274"/>
        <w:gridCol w:w="115"/>
        <w:gridCol w:w="115"/>
        <w:gridCol w:w="115"/>
        <w:gridCol w:w="223"/>
        <w:gridCol w:w="812"/>
        <w:gridCol w:w="115"/>
        <w:gridCol w:w="115"/>
        <w:gridCol w:w="115"/>
        <w:gridCol w:w="115"/>
        <w:gridCol w:w="223"/>
        <w:gridCol w:w="812"/>
        <w:gridCol w:w="170"/>
      </w:tblGrid>
      <w:tr>
        <w:trPr/>
        <w:tc>
          <w:tcPr>
            <w:tcW w:w="2624"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Employers Holdings,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share data)</w:t>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150,000,000 shares authorized; 58,352,888 and 58,276,637 shares issued and 17,954,305 and 20,342,135 shares outstanding at June 30, 2026 and December 31, 2025, respectively</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25,000,000 shares authorized; none issued</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Treasury stock, at cost (40,398,583 shares at June 30, 2026 and 37,934,502 shares at December 31, 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center"/>
        <w:rPr>
          <w:rFonts w:ascii="Times New Roman;serif" w:hAnsi="Times New Roman;serif"/>
          <w:b w:val="false"/>
          <w:i/>
          <w:color w:val="000000"/>
          <w:sz w:val="18"/>
        </w:rPr>
      </w:pPr>
      <w:r>
        <w:rPr>
          <w:rFonts w:ascii="Times New Roman;serif" w:hAnsi="Times New Roman;serif"/>
          <w:b w:val="false"/>
          <w:i/>
          <w:color w:val="000000"/>
          <w:sz w:val="18"/>
        </w:rPr>
        <w:t>See accompanying unaudited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120"/>
        <w:jc w:val="both"/>
        <w:rPr/>
      </w:pPr>
      <w:r>
        <w:rPr/>
      </w:r>
    </w:p>
    <w:tbl>
      <w:tblPr>
        <w:tblW w:w="10205" w:type="dxa"/>
        <w:jc w:val="left"/>
        <w:tblInd w:w="0" w:type="dxa"/>
        <w:tblLayout w:type="fixed"/>
        <w:tblCellMar>
          <w:top w:w="28" w:type="dxa"/>
          <w:left w:w="28" w:type="dxa"/>
          <w:bottom w:w="28" w:type="dxa"/>
          <w:right w:w="28" w:type="dxa"/>
        </w:tblCellMar>
      </w:tblPr>
      <w:tblGrid>
        <w:gridCol w:w="2125"/>
        <w:gridCol w:w="1486"/>
        <w:gridCol w:w="1495"/>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12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Employers Holdings, Inc.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Unrealized AFS investment (losses) gains arising during the period, net of tax benefit (expense) of $1.0 and $(2.0) for the three months ended June 30, 2026 and 2025, respectively, and $5.5 and $(7.7) and for the six months ended June 30,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AFS investment losses in net income, net of tax benefit of $(0.1) for the three months ended June 30, 2026, and $(0.2) for each of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common share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common share and eligible equity plan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center"/>
        <w:rPr>
          <w:rFonts w:ascii="Times New Roman;serif" w:hAnsi="Times New Roman;serif"/>
          <w:b w:val="false"/>
          <w:i/>
          <w:color w:val="000000"/>
          <w:sz w:val="18"/>
        </w:rPr>
      </w:pPr>
      <w:r>
        <w:rPr>
          <w:rFonts w:ascii="Times New Roman;serif" w:hAnsi="Times New Roman;serif"/>
          <w:b w:val="false"/>
          <w:i/>
          <w:color w:val="000000"/>
          <w:sz w:val="18"/>
        </w:rPr>
        <w:t>See accompanying unaudited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120"/>
        <w:jc w:val="both"/>
        <w:rPr/>
      </w:pPr>
      <w:r>
        <w:rPr/>
      </w:r>
    </w:p>
    <w:tbl>
      <w:tblPr>
        <w:tblW w:w="10546" w:type="dxa"/>
        <w:jc w:val="center"/>
        <w:tblInd w:w="0" w:type="dxa"/>
        <w:tblLayout w:type="fixed"/>
        <w:tblCellMar>
          <w:top w:w="28" w:type="dxa"/>
          <w:left w:w="28" w:type="dxa"/>
          <w:bottom w:w="28" w:type="dxa"/>
          <w:right w:w="28" w:type="dxa"/>
        </w:tblCellMar>
      </w:tblPr>
      <w:tblGrid>
        <w:gridCol w:w="674"/>
        <w:gridCol w:w="263"/>
        <w:gridCol w:w="264"/>
        <w:gridCol w:w="480"/>
        <w:gridCol w:w="481"/>
        <w:gridCol w:w="211"/>
        <w:gridCol w:w="109"/>
        <w:gridCol w:w="109"/>
        <w:gridCol w:w="109"/>
        <w:gridCol w:w="216"/>
        <w:gridCol w:w="414"/>
        <w:gridCol w:w="121"/>
        <w:gridCol w:w="109"/>
        <w:gridCol w:w="109"/>
        <w:gridCol w:w="109"/>
        <w:gridCol w:w="211"/>
        <w:gridCol w:w="601"/>
        <w:gridCol w:w="119"/>
        <w:gridCol w:w="109"/>
        <w:gridCol w:w="109"/>
        <w:gridCol w:w="109"/>
        <w:gridCol w:w="196"/>
        <w:gridCol w:w="691"/>
        <w:gridCol w:w="109"/>
        <w:gridCol w:w="109"/>
        <w:gridCol w:w="109"/>
        <w:gridCol w:w="109"/>
        <w:gridCol w:w="325"/>
        <w:gridCol w:w="799"/>
        <w:gridCol w:w="182"/>
        <w:gridCol w:w="109"/>
        <w:gridCol w:w="109"/>
        <w:gridCol w:w="109"/>
        <w:gridCol w:w="196"/>
        <w:gridCol w:w="706"/>
        <w:gridCol w:w="109"/>
        <w:gridCol w:w="109"/>
        <w:gridCol w:w="109"/>
        <w:gridCol w:w="109"/>
        <w:gridCol w:w="228"/>
        <w:gridCol w:w="807"/>
        <w:gridCol w:w="181"/>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Employers Holdings, Inc. and Subsidiaries</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2026 and 2025</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Issued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except share data)</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58,343,299 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obligations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and PSUs, net of shares withheld to satisfy tax withholdings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period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on AFS investments, net of taxes of $0.9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58,352,888 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858.8 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1, 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58,244,858 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obligations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and PSUs, net of shares withheld to satisfy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for the period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on AFS investments, net of taxes of $(2.0)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58,257,209 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345" w:type="dxa"/>
            <w:gridSpan w:val="39"/>
            <w:tcBorders/>
          </w:tcPr>
          <w:p>
            <w:pPr>
              <w:pStyle w:val="TableContents"/>
              <w:bidi w:val="0"/>
              <w:spacing w:before="0" w:after="283"/>
              <w:jc w:val="left"/>
              <w:rPr>
                <w:sz w:val="4"/>
                <w:szCs w:val="4"/>
              </w:rPr>
            </w:pPr>
            <w:r>
              <w:rPr>
                <w:sz w:val="4"/>
                <w:szCs w:val="4"/>
              </w:rPr>
            </w:r>
          </w:p>
        </w:tc>
      </w:tr>
      <w:tr>
        <w:trPr/>
        <w:tc>
          <w:tcPr>
            <w:tcW w:w="10546"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unaudited notes to the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60" w:after="120"/>
        <w:jc w:val="both"/>
        <w:rPr/>
      </w:pPr>
      <w:r>
        <w:rPr/>
      </w:r>
    </w:p>
    <w:tbl>
      <w:tblPr>
        <w:tblW w:w="10546" w:type="dxa"/>
        <w:jc w:val="center"/>
        <w:tblInd w:w="0" w:type="dxa"/>
        <w:tblLayout w:type="fixed"/>
        <w:tblCellMar>
          <w:top w:w="28" w:type="dxa"/>
          <w:left w:w="28" w:type="dxa"/>
          <w:bottom w:w="28" w:type="dxa"/>
          <w:right w:w="28" w:type="dxa"/>
        </w:tblCellMar>
      </w:tblPr>
      <w:tblGrid>
        <w:gridCol w:w="674"/>
        <w:gridCol w:w="263"/>
        <w:gridCol w:w="264"/>
        <w:gridCol w:w="480"/>
        <w:gridCol w:w="481"/>
        <w:gridCol w:w="211"/>
        <w:gridCol w:w="109"/>
        <w:gridCol w:w="109"/>
        <w:gridCol w:w="109"/>
        <w:gridCol w:w="216"/>
        <w:gridCol w:w="414"/>
        <w:gridCol w:w="121"/>
        <w:gridCol w:w="109"/>
        <w:gridCol w:w="109"/>
        <w:gridCol w:w="109"/>
        <w:gridCol w:w="211"/>
        <w:gridCol w:w="601"/>
        <w:gridCol w:w="119"/>
        <w:gridCol w:w="109"/>
        <w:gridCol w:w="109"/>
        <w:gridCol w:w="109"/>
        <w:gridCol w:w="196"/>
        <w:gridCol w:w="691"/>
        <w:gridCol w:w="109"/>
        <w:gridCol w:w="109"/>
        <w:gridCol w:w="109"/>
        <w:gridCol w:w="109"/>
        <w:gridCol w:w="325"/>
        <w:gridCol w:w="799"/>
        <w:gridCol w:w="182"/>
        <w:gridCol w:w="109"/>
        <w:gridCol w:w="109"/>
        <w:gridCol w:w="109"/>
        <w:gridCol w:w="196"/>
        <w:gridCol w:w="706"/>
        <w:gridCol w:w="109"/>
        <w:gridCol w:w="109"/>
        <w:gridCol w:w="109"/>
        <w:gridCol w:w="109"/>
        <w:gridCol w:w="228"/>
        <w:gridCol w:w="807"/>
        <w:gridCol w:w="181"/>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Employers Holdings, Inc. and Subsidiaries</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2026 and 2025</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Issued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16" w:space="0" w:color="000000"/>
            </w:tcBorders>
            <w:tcMar>
              <w:top w:w="0" w:type="dxa"/>
              <w:left w:w="0" w:type="dxa"/>
              <w:bottom w:w="30" w:type="dxa"/>
              <w:right w:w="0" w:type="dxa"/>
            </w:tcMar>
            <w:vAlign w:val="center"/>
          </w:tcPr>
          <w:p>
            <w:pPr>
              <w:pStyle w:val="Normal"/>
              <w:bidi w:val="0"/>
              <w:jc w:val="left"/>
              <w:rPr/>
            </w:pPr>
            <w:r>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except share data)</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58,276,637 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obligations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and PSUs, net of shares withheld to satisfy tax withholdings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Acquisitions of common stock</w:t>
            </w:r>
            <w:r>
              <w:rPr>
                <w:rFonts w:ascii="Times New Roman;serif" w:hAnsi="Times New Roman;serif"/>
                <w:b w:val="false"/>
                <w:color w:val="000000"/>
                <w:sz w:val="13"/>
              </w:rPr>
              <w:t xml:space="preserve">(1)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period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on AFS investments, net of taxes of $5.3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58,352,888 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858.8 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58,184,861 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obligations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and PSUs, net of shares withheld to satisfy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period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unrealized losses on AFS investments, net of taxes of $(7.9)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58,257,209 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1,083.1 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46"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Amount includes applicable excise tax as imposed by the Inflation Reduction Act of 2022 (See Note 7).</w:t>
            </w:r>
          </w:p>
        </w:tc>
      </w:tr>
      <w:tr>
        <w:trPr/>
        <w:tc>
          <w:tcPr>
            <w:tcW w:w="105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unaudited notes to the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120"/>
        <w:jc w:val="both"/>
        <w:rPr/>
      </w:pPr>
      <w:r>
        <w:rPr/>
      </w:r>
    </w:p>
    <w:tbl>
      <w:tblPr>
        <w:tblW w:w="9742" w:type="dxa"/>
        <w:jc w:val="left"/>
        <w:tblInd w:w="0" w:type="dxa"/>
        <w:tblLayout w:type="fixed"/>
        <w:tblCellMar>
          <w:top w:w="28" w:type="dxa"/>
          <w:left w:w="28" w:type="dxa"/>
          <w:bottom w:w="28" w:type="dxa"/>
          <w:right w:w="28" w:type="dxa"/>
        </w:tblCellMar>
      </w:tblPr>
      <w:tblGrid>
        <w:gridCol w:w="2434"/>
        <w:gridCol w:w="2135"/>
        <w:gridCol w:w="2150"/>
        <w:gridCol w:w="133"/>
        <w:gridCol w:w="133"/>
        <w:gridCol w:w="133"/>
        <w:gridCol w:w="259"/>
        <w:gridCol w:w="757"/>
        <w:gridCol w:w="133"/>
        <w:gridCol w:w="133"/>
        <w:gridCol w:w="133"/>
        <w:gridCol w:w="133"/>
        <w:gridCol w:w="259"/>
        <w:gridCol w:w="628"/>
        <w:gridCol w:w="189"/>
      </w:tblGrid>
      <w:tr>
        <w:trPr/>
        <w:tc>
          <w:tcPr>
            <w:tcW w:w="243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9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Employers Holdings, Inc. and Subsidiaries</w:t>
            </w:r>
          </w:p>
        </w:tc>
      </w:tr>
      <w:tr>
        <w:trPr/>
        <w:tc>
          <w:tcPr>
            <w:tcW w:w="9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r>
      <w:tr>
        <w:trPr/>
        <w:tc>
          <w:tcPr>
            <w:tcW w:w="9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assets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discounts and premiums on investments, net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expense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paid and unpaid losses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arrangements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federal income taxes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loss adjustment expenses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gain—LPT Agreement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Non-cancellable obligations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maturity securities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other invested assets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from other invested assets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fixed maturity securities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securities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fixed maturity securities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short-term investments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unsettled investment purchases and sales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other</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common stock and excise tax payments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transactions related to stock-based compensation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stockholders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FHLB advances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line of credit advances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cash equivalents and restricted cash by category within the Consolidated Balance Sheets:</w:t>
      </w:r>
    </w:p>
    <w:tbl>
      <w:tblPr>
        <w:tblW w:w="8978" w:type="dxa"/>
        <w:jc w:val="center"/>
        <w:tblInd w:w="0" w:type="dxa"/>
        <w:tblLayout w:type="fixed"/>
        <w:tblCellMar>
          <w:top w:w="28" w:type="dxa"/>
          <w:left w:w="28" w:type="dxa"/>
          <w:bottom w:w="28" w:type="dxa"/>
          <w:right w:w="28" w:type="dxa"/>
        </w:tblCellMar>
      </w:tblPr>
      <w:tblGrid>
        <w:gridCol w:w="2162"/>
        <w:gridCol w:w="1898"/>
        <w:gridCol w:w="1909"/>
        <w:gridCol w:w="109"/>
        <w:gridCol w:w="109"/>
        <w:gridCol w:w="109"/>
        <w:gridCol w:w="236"/>
        <w:gridCol w:w="691"/>
        <w:gridCol w:w="123"/>
        <w:gridCol w:w="109"/>
        <w:gridCol w:w="109"/>
        <w:gridCol w:w="109"/>
        <w:gridCol w:w="280"/>
        <w:gridCol w:w="819"/>
        <w:gridCol w:w="206"/>
      </w:tblGrid>
      <w:tr>
        <w:trPr/>
        <w:tc>
          <w:tcPr>
            <w:tcW w:w="216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supporting reinsurance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120" w:after="180"/>
        <w:jc w:val="center"/>
        <w:rPr>
          <w:rFonts w:ascii="Times New Roman;serif" w:hAnsi="Times New Roman;serif"/>
          <w:b w:val="false"/>
          <w:i/>
          <w:color w:val="000000"/>
          <w:sz w:val="18"/>
        </w:rPr>
      </w:pPr>
      <w:r>
        <w:rPr>
          <w:rFonts w:ascii="Times New Roman;serif" w:hAnsi="Times New Roman;serif"/>
          <w:b w:val="false"/>
          <w:i/>
          <w:color w:val="000000"/>
          <w:sz w:val="18"/>
        </w:rPr>
        <w:t>See accompanying unaudited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Employers Holdings,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60" w:after="120"/>
        <w:jc w:val="center"/>
        <w:rPr/>
      </w:pPr>
      <w:r>
        <w:rPr>
          <w:color w:val="000000"/>
        </w:rPr>
        <w:t> </w:t>
      </w: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 Basis of Presentation and Summary of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Employers Holdings, Inc. (EHI) is a Nevada holding company. Through its wholly owned insurance subsidiaries, Employers Insurance Company of Nevada (EICN), Employers Compensation Insurance Company (ECIC), Employers Preferred Insurance Company (EPIC), Employers Assurance Company (EAC), and Cerity Insurance Company (CIC), EHI is engaged in the commercial property and casualty insurance industry, specializing in workers’ compensation, excess workers’ compensation, and related services. Unless otherwise indicated, all references to the “Company” refer to EHI, together with its subsidiaries.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1999, the Nevada State Industrial Insurance System (the Fund) entered into a retroactive 100% quota share reinsurance agreement (the LPT Agreement) through a loss portfolio transfer transaction with third party reinsurers. The LPT Agreement, which ceded to the reinsurers substantially all of the Fund's outstanding losses as of June 30, 1999 for claims with original dates of injury prior to July 1, 1995, provides coverage for losses up to $2.0 billion, excluding losses for burial and transportation expenses. The LPT Agreement will remain in effect until, whichever of the following occurs first: (i) all claims under the covered policies have closed; (ii) the LPT Agreement is commuted or terminated, upon the mutual agreement of the parties; or (iii) the reinsurers’ aggregate maximum limit of liability is exhausted. The LPT Agreement does not provide for any additional termination terms. On January 1, 2000, EICN assumed all of the assets, liabilities, and operations of the Fund, including the Fund’s rights and obligations associated with the LPT Agreement (See Note 9).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the LPT Agreement as retroactive reinsurance. Upon entry into the LPT Agreement, an initial deferred reinsurance gain (the Deferred Gain) was recorded as a liability on the Company’s Consolidated Balance Sheets.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United States (U.S.) generally accepted accounting principles (GAAP) for interim financial information and with the instructions to Form 10-Q and Article 10 of Regulation S-X of the Securities Exchange Act of 1934 (Exchange Act), as amended. Accordingly, they do not include all of the information and notes required by GAAP for complete financial statements. In the opinion of management, all adjustments (consisting of normal, recurring adjustments) necessary for a fair presentation of the Company’s consolidated financial position and results of operations for the periods presented have been included. The results of operations for an interim period are not necessarily indicative of the results for an entire year. These financial statements have been prepared consistent with the accounting policies described in the Company’s Form 10-K for the year ended December 31, 2025 (Annual Report).</w:t>
      </w:r>
    </w:p>
    <w:p>
      <w:pPr>
        <w:pStyle w:val="TextBody"/>
        <w:bidi w:val="0"/>
        <w:spacing w:lineRule="auto" w:line="288" w:before="60" w:after="120"/>
        <w:jc w:val="both"/>
        <w:rPr/>
      </w:pPr>
      <w:r>
        <w:rPr>
          <w:rFonts w:ascii="Times New Roman;serif" w:hAnsi="Times New Roman;serif"/>
          <w:b w:val="false"/>
          <w:color w:val="000000"/>
          <w:sz w:val="20"/>
        </w:rPr>
        <w:t xml:space="preserve">The Company operates as a single operating segment, </w:t>
      </w:r>
      <w:r>
        <w:rPr>
          <w:rFonts w:ascii="Times New Roman;serif" w:hAnsi="Times New Roman;serif"/>
          <w:b w:val="false"/>
          <w:i/>
          <w:color w:val="000000"/>
          <w:sz w:val="20"/>
        </w:rPr>
        <w:t>Insurance Operations</w:t>
      </w:r>
      <w:r>
        <w:rPr>
          <w:rFonts w:ascii="Times New Roman;serif" w:hAnsi="Times New Roman;serif"/>
          <w:b w:val="false"/>
          <w:color w:val="000000"/>
          <w:sz w:val="20"/>
        </w:rPr>
        <w:t>, through its wholly owned subsidiaries. Detailed financial information about the Company's single operating segment is presented in Note 14.</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As a result, actual results could differ from these estimates. The most significant areas that require management judgment are the estimate of unpaid losses and loss adjustment expenses (LAE), evaluation of reinsurance recoverables, recognition of premium revenue, recoverability of deferred income taxes, and valuation of investments.</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2. New Accounting Standards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60" w:after="120"/>
        <w:jc w:val="both"/>
        <w:rPr/>
      </w:pPr>
      <w:r>
        <w:rPr>
          <w:rFonts w:ascii="Times New Roman;serif" w:hAnsi="Times New Roman;serif"/>
          <w:b w:val="false"/>
          <w:color w:val="000000"/>
          <w:sz w:val="20"/>
        </w:rPr>
        <w:t xml:space="preserve">In December 2025, the Financial Accounting Standards Board (FASB) issued </w:t>
      </w:r>
      <w:r>
        <w:rPr>
          <w:rFonts w:ascii="Times New Roman;serif" w:hAnsi="Times New Roman;serif"/>
          <w:b w:val="false"/>
          <w:i/>
          <w:color w:val="000000"/>
          <w:sz w:val="20"/>
        </w:rPr>
        <w:t>ASU 2025-11 Interim Reporting (Topic 270)</w:t>
      </w:r>
      <w:r>
        <w:rPr>
          <w:rFonts w:ascii="Times New Roman;serif" w:hAnsi="Times New Roman;serif"/>
          <w:b w:val="false"/>
          <w:color w:val="000000"/>
          <w:sz w:val="20"/>
        </w:rPr>
        <w:t>. The amendments in this update clarify the interim disclosure requirements under GAAP and the applicability of Topic 270, Interim Reporting. The amendments in this update provide a comprehensive list of interim disclosures currently required by GAAP and are intended to clarify existing requirements rather than expand or reduce them. The amendments also introduce a disclosure principle requiring entities to disclose events occurring since the end of the most recent annual reporting period that have a material impact on the entity, even if such disclosures are not specifically identified in Topic 270. In addition, the Update clarifies the scope of Topic 270, the types of interim reporting, and the form and content of interim financial statements prepared in accordance with GAAP. This update is effective for interim periods within annual periods beginning after December 15, 2027. Early adoption is permitted. The Company will adopt this standard when it becomes effective.</w:t>
      </w:r>
    </w:p>
    <w:p>
      <w:pPr>
        <w:pStyle w:val="TextBody"/>
        <w:bidi w:val="0"/>
        <w:spacing w:lineRule="auto" w:line="288" w:before="60" w:after="120"/>
        <w:jc w:val="both"/>
        <w:rPr/>
      </w:pPr>
      <w:r>
        <w:rPr>
          <w:rFonts w:ascii="Times New Roman;serif" w:hAnsi="Times New Roman;serif"/>
          <w:b w:val="false"/>
          <w:color w:val="000000"/>
          <w:sz w:val="20"/>
        </w:rPr>
        <w:t xml:space="preserve">In September 2025, the Financial Accounting Standards Board (FASB) issued </w:t>
      </w:r>
      <w:r>
        <w:rPr>
          <w:rFonts w:ascii="Times New Roman;serif" w:hAnsi="Times New Roman;serif"/>
          <w:b w:val="false"/>
          <w:i/>
          <w:color w:val="000000"/>
          <w:sz w:val="20"/>
        </w:rPr>
        <w:t>ASU 2025-06, Intangibles-Goodwill and Other-Internal-Use Software (Subtopic 350-40)</w:t>
      </w:r>
      <w:r>
        <w:rPr>
          <w:rFonts w:ascii="Times New Roman;serif" w:hAnsi="Times New Roman;serif"/>
          <w:b w:val="false"/>
          <w:color w:val="000000"/>
          <w:sz w:val="20"/>
        </w:rPr>
        <w:t>. The amendments in this update eliminate all references to project stages and require capitalization of software costs when: (i) management authorizes and commits to funding the software project, and (ii) it is probable the software project will be completed and used as intended, known as the "probable-to-completion recognition threshold." Entities must consider whether there is significant uncertainty associated with the development activities of the software in determining if the threshold is met. To determine whether significant development uncertainty exists, the amendment considers the following: (i) whether uncertainties related to novel or unproven software functions or features, if identified, have been resolved through coding and testing, and (ii) whether the software’s required functions and performance criteria have been defined or are still being revised. In addition, the amendments in the update specify that property, plant, and equipment disclosure requirements are required for capitalized internal-use software costs, regardless of financial statement presentation and also incorporate the recognition requirements for website-specific development costs. This update is effective for fiscal years beginning after December 15, 2027 and interim periods within those fiscal years. Entities may apply the guidance using a prospective, retrospective, or modified transition approach. The Company will adopt this standard when it becomes effective.</w:t>
      </w:r>
    </w:p>
    <w:p>
      <w:pPr>
        <w:pStyle w:val="TextBody"/>
        <w:bidi w:val="0"/>
        <w:spacing w:lineRule="auto" w:line="288" w:before="60" w:after="120"/>
        <w:jc w:val="both"/>
        <w:rPr/>
      </w:pPr>
      <w:r>
        <w:rPr>
          <w:rFonts w:ascii="Times New Roman;serif" w:hAnsi="Times New Roman;serif"/>
          <w:b w:val="false"/>
          <w:color w:val="000000"/>
          <w:sz w:val="20"/>
        </w:rPr>
        <w:t xml:space="preserve">In November 2024, the FASB issued </w:t>
      </w:r>
      <w:r>
        <w:rPr>
          <w:rFonts w:ascii="Times New Roman;serif" w:hAnsi="Times New Roman;serif"/>
          <w:b w:val="false"/>
          <w:i/>
          <w:color w:val="000000"/>
          <w:sz w:val="20"/>
        </w:rPr>
        <w:t>ASU 2024-03, Income Statement - Reporting Comprehensive Income-Expense Disaggregation Disclosures (Subtopic 220-40)</w:t>
      </w:r>
      <w:r>
        <w:rPr>
          <w:rFonts w:ascii="Times New Roman;serif" w:hAnsi="Times New Roman;serif"/>
          <w:b w:val="false"/>
          <w:color w:val="000000"/>
          <w:sz w:val="20"/>
        </w:rPr>
        <w:t>. The amendments in this update require further disaggregation of certain relevant costs and expenses into specified categories in disclosures within the footnotes to the financial statements at each interim and annual reporting period. Relevant expense captions required to be disclosed include the following, as applicable: (i) purchases of inventory; (ii) employee compensation; (iii) depreciation; (iv) intangible asset amortization; and (v) depreciation, depletion, and amortization recognized as part of oil and gas-producing activities (or other depletion expenses). In addition, the amendments require a qualitative description of the amounts of other items remaining in relevant expense captions that are not separately disaggregated. In addition, a separate disclosure of the total amount of selling expenses should be presented and, in annual reporting periods, an entity's definition of selling expenses should be disclosed. This update is effective for fiscal years beginning after December 15, 2026, and interim reporting periods within annual reporting periods beginning after December 15, 2027. Early adoption is permitted. The Company will adopt this standard when it becomes effective.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3. Valuation of Financial Instruments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Financial Instruments Carried at Fair Value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and the estimated fair value of the Company’s financial instruments at fair value were as follows:</w:t>
      </w:r>
    </w:p>
    <w:tbl>
      <w:tblPr>
        <w:tblW w:w="10205" w:type="dxa"/>
        <w:jc w:val="left"/>
        <w:tblInd w:w="0" w:type="dxa"/>
        <w:tblLayout w:type="fixed"/>
        <w:tblCellMar>
          <w:top w:w="28" w:type="dxa"/>
          <w:left w:w="28" w:type="dxa"/>
          <w:bottom w:w="28" w:type="dxa"/>
          <w:right w:w="28" w:type="dxa"/>
        </w:tblCellMar>
      </w:tblPr>
      <w:tblGrid>
        <w:gridCol w:w="984"/>
        <w:gridCol w:w="831"/>
        <w:gridCol w:w="838"/>
        <w:gridCol w:w="109"/>
        <w:gridCol w:w="109"/>
        <w:gridCol w:w="109"/>
        <w:gridCol w:w="264"/>
        <w:gridCol w:w="961"/>
        <w:gridCol w:w="136"/>
        <w:gridCol w:w="109"/>
        <w:gridCol w:w="109"/>
        <w:gridCol w:w="109"/>
        <w:gridCol w:w="337"/>
        <w:gridCol w:w="1225"/>
        <w:gridCol w:w="173"/>
        <w:gridCol w:w="109"/>
        <w:gridCol w:w="109"/>
        <w:gridCol w:w="109"/>
        <w:gridCol w:w="264"/>
        <w:gridCol w:w="961"/>
        <w:gridCol w:w="136"/>
        <w:gridCol w:w="109"/>
        <w:gridCol w:w="109"/>
        <w:gridCol w:w="109"/>
        <w:gridCol w:w="332"/>
        <w:gridCol w:w="1207"/>
        <w:gridCol w:w="248"/>
      </w:tblGrid>
      <w:tr>
        <w:trPr/>
        <w:tc>
          <w:tcPr>
            <w:tcW w:w="9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agreement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FHLB advances (Note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the Company’s Consolidated Balance Sheets are categorized based upon the levels of judgment associated with the inputs used to measure their fair value. Level inputs are defined as follows: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1 - Inputs are unadjusted quoted market prices for identical assets or liabilities in active markets at the measurement date.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2 - Inputs other than Level 1 prices that are observable for similar assets or liabilities through corroboration with market data at the measurement date.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3 - Inputs that are unobservable that reflect management’s best estimate of what willing market participants would use in pricing the assets or liabilities at the measurement date.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third party pricing services to assist with its investment accounting function. The ultimate pricing source varies depending on the investment security and pricing service used, but investment securities valued on the basis of observable inputs (Levels 1 and 2) are generally assigned values on the basis of actual transactions. Securities valued on the basis of pricing models with significant unobservable inputs or non-binding broker quotes are classified as Level 3. Transfers between levels of the fair value hierarchy are recognized as of the date of the event or change in circumstances that caused the transfer. The Company performs quarterly analyses on the prices it receives from third parties to determine whether the prices are reasonable estimates of fair value, including confirming the fair values of these securities through observable market prices using an alternative pricing source, as it is ultimately management’s responsibility to ensure that the fair values reflected in the Company’s consolidated financial statements are appropriate. If differences are noted in these analyses, the Company may obtain additional information from other pricing services to validate the quoted price.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bases all of its estimates of fair value for assets on bid prices, when available, as they represent what a third-party market participant would be willing to pay in an arm’s length transaction.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securities not actively traded, third party pricing services may use quoted market prices of similar instruments or discounted cash flow analyses, incorporating inputs that are currently observable in the markets for similar securities. Inputs that are often used in the valuation methodologies include, but are not limited to, broker quotes, benchmark yields, credit spreads, default rates, and prepayment speed assumptions. There were no material adjustments to the valuation methodology utilized by third party pricing services as of June 30, 2026 and December 31,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These methods of valuation only produce an estimate of fair value if there is objectively verifiable information to produce a valuation. If objectively verifiable information is not available, the Company would be required to produce an estimate of fair value using some of the same methodologies, making assumptions for market-based inputs that are unavailable.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insurance subsidiaries had aggregate Federal Home Loan Bank of San Francisco (FHLB) advances outstanding totaling $105.0 million, bearing fixed interest rates ranging from 3.74% to 3.87% and maturing between February 2029 and May 2029. The estimated fair value of FHLB advances is determined using a discounted cash flow methodology incorporating current FHLB advance rates for instruments of comparable remaining terms as of the measurement date. FHLB advances are classified as Level 2 within the fair value hierarchy as these advances are not actively traded (See Note 10).</w:t>
      </w:r>
    </w:p>
    <w:p>
      <w:pPr>
        <w:pStyle w:val="TextBody"/>
        <w:bidi w:val="0"/>
        <w:spacing w:lineRule="auto" w:line="288" w:before="60" w:after="120"/>
        <w:jc w:val="both"/>
        <w:rPr/>
      </w:pPr>
      <w:r>
        <w:rPr>
          <w:rFonts w:ascii="Times New Roman;serif" w:hAnsi="Times New Roman;serif"/>
          <w:b w:val="false"/>
          <w:color w:val="242424"/>
          <w:sz w:val="20"/>
        </w:rPr>
        <w:t xml:space="preserve">As of </w:t>
      </w:r>
      <w:r>
        <w:rPr>
          <w:rFonts w:ascii="Times New Roman;serif" w:hAnsi="Times New Roman;serif"/>
          <w:b w:val="false"/>
          <w:color w:val="000000"/>
          <w:sz w:val="20"/>
        </w:rPr>
        <w:t>June 30, 2026, the Company held $80.1 million of fixed maturity securities at fair value that were designated Level 3. These private placement securities were designated as Level 3 securities d</w:t>
      </w:r>
      <w:r>
        <w:rPr>
          <w:rFonts w:ascii="Times New Roman;serif" w:hAnsi="Times New Roman;serif"/>
          <w:b w:val="false"/>
          <w:color w:val="242424"/>
          <w:sz w:val="20"/>
        </w:rPr>
        <w:t>ue to the limited amount of observable market information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investments at fair value and the corresponding fair value measurements.</w:t>
      </w:r>
    </w:p>
    <w:tbl>
      <w:tblPr>
        <w:tblW w:w="10205" w:type="dxa"/>
        <w:jc w:val="left"/>
        <w:tblInd w:w="0" w:type="dxa"/>
        <w:tblLayout w:type="fixed"/>
        <w:tblCellMar>
          <w:top w:w="28" w:type="dxa"/>
          <w:left w:w="28" w:type="dxa"/>
          <w:bottom w:w="28" w:type="dxa"/>
          <w:right w:w="28" w:type="dxa"/>
        </w:tblCellMar>
      </w:tblPr>
      <w:tblGrid>
        <w:gridCol w:w="1024"/>
        <w:gridCol w:w="731"/>
        <w:gridCol w:w="736"/>
        <w:gridCol w:w="109"/>
        <w:gridCol w:w="109"/>
        <w:gridCol w:w="109"/>
        <w:gridCol w:w="211"/>
        <w:gridCol w:w="616"/>
        <w:gridCol w:w="109"/>
        <w:gridCol w:w="109"/>
        <w:gridCol w:w="109"/>
        <w:gridCol w:w="109"/>
        <w:gridCol w:w="211"/>
        <w:gridCol w:w="766"/>
        <w:gridCol w:w="109"/>
        <w:gridCol w:w="109"/>
        <w:gridCol w:w="109"/>
        <w:gridCol w:w="109"/>
        <w:gridCol w:w="211"/>
        <w:gridCol w:w="511"/>
        <w:gridCol w:w="109"/>
        <w:gridCol w:w="109"/>
        <w:gridCol w:w="109"/>
        <w:gridCol w:w="109"/>
        <w:gridCol w:w="211"/>
        <w:gridCol w:w="616"/>
        <w:gridCol w:w="109"/>
        <w:gridCol w:w="109"/>
        <w:gridCol w:w="109"/>
        <w:gridCol w:w="109"/>
        <w:gridCol w:w="211"/>
        <w:gridCol w:w="766"/>
        <w:gridCol w:w="109"/>
        <w:gridCol w:w="109"/>
        <w:gridCol w:w="109"/>
        <w:gridCol w:w="109"/>
        <w:gridCol w:w="211"/>
        <w:gridCol w:w="511"/>
        <w:gridCol w:w="155"/>
      </w:tblGrid>
      <w:tr>
        <w:trPr/>
        <w:tc>
          <w:tcPr>
            <w:tcW w:w="10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that are measured using Level 3 inputs.</w:t>
      </w:r>
    </w:p>
    <w:tbl>
      <w:tblPr>
        <w:tblW w:w="7629" w:type="dxa"/>
        <w:jc w:val="left"/>
        <w:tblInd w:w="0" w:type="dxa"/>
        <w:tblLayout w:type="fixed"/>
        <w:tblCellMar>
          <w:top w:w="28" w:type="dxa"/>
          <w:left w:w="28" w:type="dxa"/>
          <w:bottom w:w="28" w:type="dxa"/>
          <w:right w:w="28" w:type="dxa"/>
        </w:tblCellMar>
      </w:tblPr>
      <w:tblGrid>
        <w:gridCol w:w="2026"/>
        <w:gridCol w:w="1781"/>
        <w:gridCol w:w="1788"/>
        <w:gridCol w:w="211"/>
        <w:gridCol w:w="511"/>
        <w:gridCol w:w="109"/>
        <w:gridCol w:w="109"/>
        <w:gridCol w:w="109"/>
        <w:gridCol w:w="109"/>
        <w:gridCol w:w="211"/>
        <w:gridCol w:w="511"/>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included in comprehensive income or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Financial Instruments Carried at Cost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Each of the Company's insurance subsidiaries are members of the FHLB. Members are required to purchase a designated amount of FHLB capital stock to maintain their membership in addition to maintaining collateral deposits that back any funds advanced and standby letters of credit issued (See Note 10). The Company’s investment in FHLB stock is recorded at cost, which approximates fair value, as purchases and sales of these securities are at par value with the issuer. FHLB stock is considered a restricted security and is periodically evaluated by the Company for impairment based on the estimated ultimate recovery of par value.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$20.0 million outstanding under its Credit Agreement (as amended, as described in Note 10, the Credit Agreement) with Wells Fargo Bank, National Association. Borrowings under the Credit Agreement bear interest at a variable rate based on Adjusted Term Secured Overnight Financing Rate (SOFR), which resets periodically to reflect current market conditions. As a result of the variable rate nature of this instrument, the carrying value approximates its estimated fair value as of June 30, 2026. The revolving credit facility is classified as Level 2 within the fair value hierarchy (See Note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Financial Instruments Carried at Net Asset Value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has investments in private equity limited partnership interests that are included in Other invested assets on the Company’s Consolidated Balance Sheets. These investments do not have readily determinable fair values and are carried at net asset value (NAV) and therefore are excluded from the fair value hierarchy. The Company initially estimates the value of these investments using the transaction price. In subsequent periods, the Company measures these investments using NAV per share provided quarterly by the general partner, based on financial statements that are audited annually. These investments are generally not redeemable by the investees and cannot be sold without approval of the general partner. These investments have a fund term of 3 to 12 years, subject to two or three one-year extensions at the general partner’s discretion. The Company periodically receives and recognizes as Net investment income on the Company’s Consolidated Statements of Comprehensive Income (Loss) distributions of proceeds from dividends and interest from fund investments, as well as from any dispositions of fund investments during the course of the fund term. As of June 30, 2026, the Company had unfunded commitments to these private equity limited partnerships totaling $9.7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certain cash equivalents, principally money market securities, are measured using NAV, which approximates fair value.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and investments carried at NAV on the Company’s Consolidated Balance Sheets.</w:t>
      </w:r>
    </w:p>
    <w:tbl>
      <w:tblPr>
        <w:tblW w:w="6429" w:type="dxa"/>
        <w:jc w:val="left"/>
        <w:tblInd w:w="0" w:type="dxa"/>
        <w:tblLayout w:type="fixed"/>
        <w:tblCellMar>
          <w:top w:w="28" w:type="dxa"/>
          <w:left w:w="28" w:type="dxa"/>
          <w:bottom w:w="28" w:type="dxa"/>
          <w:right w:w="28" w:type="dxa"/>
        </w:tblCellMar>
      </w:tblPr>
      <w:tblGrid>
        <w:gridCol w:w="1107"/>
        <w:gridCol w:w="973"/>
        <w:gridCol w:w="979"/>
        <w:gridCol w:w="323"/>
        <w:gridCol w:w="784"/>
        <w:gridCol w:w="167"/>
        <w:gridCol w:w="109"/>
        <w:gridCol w:w="109"/>
        <w:gridCol w:w="109"/>
        <w:gridCol w:w="380"/>
        <w:gridCol w:w="1110"/>
        <w:gridCol w:w="279"/>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carried at NAV</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 carried at NAV</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gross unrealized losses, and estimated fair value of the Company’s available-for-sale (AFS) investments were as follows:</w:t>
      </w:r>
    </w:p>
    <w:tbl>
      <w:tblPr>
        <w:tblW w:w="10205" w:type="dxa"/>
        <w:jc w:val="left"/>
        <w:tblInd w:w="0" w:type="dxa"/>
        <w:tblLayout w:type="fixed"/>
        <w:tblCellMar>
          <w:top w:w="28" w:type="dxa"/>
          <w:left w:w="28" w:type="dxa"/>
          <w:bottom w:w="28" w:type="dxa"/>
          <w:right w:w="28" w:type="dxa"/>
        </w:tblCellMar>
      </w:tblPr>
      <w:tblGrid>
        <w:gridCol w:w="983"/>
        <w:gridCol w:w="774"/>
        <w:gridCol w:w="557"/>
        <w:gridCol w:w="109"/>
        <w:gridCol w:w="109"/>
        <w:gridCol w:w="109"/>
        <w:gridCol w:w="211"/>
        <w:gridCol w:w="766"/>
        <w:gridCol w:w="109"/>
        <w:gridCol w:w="109"/>
        <w:gridCol w:w="109"/>
        <w:gridCol w:w="109"/>
        <w:gridCol w:w="557"/>
        <w:gridCol w:w="1116"/>
        <w:gridCol w:w="291"/>
        <w:gridCol w:w="109"/>
        <w:gridCol w:w="109"/>
        <w:gridCol w:w="109"/>
        <w:gridCol w:w="263"/>
        <w:gridCol w:w="637"/>
        <w:gridCol w:w="136"/>
        <w:gridCol w:w="109"/>
        <w:gridCol w:w="109"/>
        <w:gridCol w:w="109"/>
        <w:gridCol w:w="258"/>
        <w:gridCol w:w="644"/>
        <w:gridCol w:w="134"/>
        <w:gridCol w:w="109"/>
        <w:gridCol w:w="109"/>
        <w:gridCol w:w="109"/>
        <w:gridCol w:w="211"/>
        <w:gridCol w:w="766"/>
        <w:gridCol w:w="157"/>
      </w:tblGrid>
      <w:tr>
        <w:trPr/>
        <w:tc>
          <w:tcPr>
            <w:tcW w:w="98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 xml:space="preserve">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securities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120"/>
        <w:jc w:val="both"/>
        <w:rPr/>
      </w:pPr>
      <w:r>
        <w:rPr/>
      </w:r>
    </w:p>
    <w:tbl>
      <w:tblPr>
        <w:tblW w:w="10205" w:type="dxa"/>
        <w:jc w:val="left"/>
        <w:tblInd w:w="0" w:type="dxa"/>
        <w:tblLayout w:type="fixed"/>
        <w:tblCellMar>
          <w:top w:w="28" w:type="dxa"/>
          <w:left w:w="28" w:type="dxa"/>
          <w:bottom w:w="28" w:type="dxa"/>
          <w:right w:w="28" w:type="dxa"/>
        </w:tblCellMar>
      </w:tblPr>
      <w:tblGrid>
        <w:gridCol w:w="983"/>
        <w:gridCol w:w="693"/>
        <w:gridCol w:w="637"/>
        <w:gridCol w:w="109"/>
        <w:gridCol w:w="109"/>
        <w:gridCol w:w="109"/>
        <w:gridCol w:w="211"/>
        <w:gridCol w:w="766"/>
        <w:gridCol w:w="109"/>
        <w:gridCol w:w="109"/>
        <w:gridCol w:w="109"/>
        <w:gridCol w:w="109"/>
        <w:gridCol w:w="557"/>
        <w:gridCol w:w="1116"/>
        <w:gridCol w:w="291"/>
        <w:gridCol w:w="109"/>
        <w:gridCol w:w="109"/>
        <w:gridCol w:w="109"/>
        <w:gridCol w:w="263"/>
        <w:gridCol w:w="637"/>
        <w:gridCol w:w="136"/>
        <w:gridCol w:w="109"/>
        <w:gridCol w:w="109"/>
        <w:gridCol w:w="109"/>
        <w:gridCol w:w="258"/>
        <w:gridCol w:w="644"/>
        <w:gridCol w:w="134"/>
        <w:gridCol w:w="109"/>
        <w:gridCol w:w="109"/>
        <w:gridCol w:w="109"/>
        <w:gridCol w:w="211"/>
        <w:gridCol w:w="766"/>
        <w:gridCol w:w="158"/>
      </w:tblGrid>
      <w:tr>
        <w:trPr/>
        <w:tc>
          <w:tcPr>
            <w:tcW w:w="98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securities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(1)Other securities within fixed maturity securities consist of bank loans, which are classified as AFS and reported at fair value.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cost and estimated fair value of the Company’s equity securities recorded at fair value at June 30, 2026 and December 31, 2025 were as follows:</w:t>
      </w:r>
    </w:p>
    <w:tbl>
      <w:tblPr>
        <w:tblW w:w="6524" w:type="dxa"/>
        <w:jc w:val="center"/>
        <w:tblInd w:w="0" w:type="dxa"/>
        <w:tblLayout w:type="fixed"/>
        <w:tblCellMar>
          <w:top w:w="28" w:type="dxa"/>
          <w:left w:w="28" w:type="dxa"/>
          <w:bottom w:w="28" w:type="dxa"/>
          <w:right w:w="28" w:type="dxa"/>
        </w:tblCellMar>
      </w:tblPr>
      <w:tblGrid>
        <w:gridCol w:w="1111"/>
        <w:gridCol w:w="977"/>
        <w:gridCol w:w="986"/>
        <w:gridCol w:w="109"/>
        <w:gridCol w:w="109"/>
        <w:gridCol w:w="109"/>
        <w:gridCol w:w="211"/>
        <w:gridCol w:w="511"/>
        <w:gridCol w:w="109"/>
        <w:gridCol w:w="109"/>
        <w:gridCol w:w="109"/>
        <w:gridCol w:w="109"/>
        <w:gridCol w:w="422"/>
        <w:gridCol w:w="1233"/>
        <w:gridCol w:w="310"/>
      </w:tblGrid>
      <w:tr>
        <w:trPr/>
        <w:tc>
          <w:tcPr>
            <w:tcW w:w="11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1112"/>
        <w:gridCol w:w="980"/>
        <w:gridCol w:w="982"/>
        <w:gridCol w:w="109"/>
        <w:gridCol w:w="109"/>
        <w:gridCol w:w="109"/>
        <w:gridCol w:w="211"/>
        <w:gridCol w:w="511"/>
        <w:gridCol w:w="109"/>
        <w:gridCol w:w="109"/>
        <w:gridCol w:w="109"/>
        <w:gridCol w:w="109"/>
        <w:gridCol w:w="211"/>
        <w:gridCol w:w="61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Other invested assets totaling $96.1 million and $96.5 million (with an associated cost of $77.4 million and $79.4 million) at June 30, 2026 and December 31, 2025, respectively, consisting of private equity limited partnerships, which are carried at NAV based on information provided by the general partner. These investments are non-redeemable until conversion and are periodically evaluated by the Company for impairment based on the ultimate recovery of the investment. Changes in the value of these investments are recorded through Net realized and unrealized losses on the Company’s Consolidated Statements of Comprehensive Income (Loss).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the Company’s fixed maturity securities at June 30, 2026, by contractual maturity, are shown below. Expected maturities differ from contractual maturities because borrowers may have the right to call or prepay obligations with or without call or prepayment penalties.</w:t>
      </w:r>
    </w:p>
    <w:tbl>
      <w:tblPr>
        <w:tblW w:w="7193" w:type="dxa"/>
        <w:jc w:val="left"/>
        <w:tblInd w:w="0" w:type="dxa"/>
        <w:tblLayout w:type="fixed"/>
        <w:tblCellMar>
          <w:top w:w="28" w:type="dxa"/>
          <w:left w:w="28" w:type="dxa"/>
          <w:bottom w:w="28" w:type="dxa"/>
          <w:right w:w="28" w:type="dxa"/>
        </w:tblCellMar>
      </w:tblPr>
      <w:tblGrid>
        <w:gridCol w:w="1135"/>
        <w:gridCol w:w="1000"/>
        <w:gridCol w:w="1015"/>
        <w:gridCol w:w="109"/>
        <w:gridCol w:w="109"/>
        <w:gridCol w:w="109"/>
        <w:gridCol w:w="277"/>
        <w:gridCol w:w="1005"/>
        <w:gridCol w:w="143"/>
        <w:gridCol w:w="109"/>
        <w:gridCol w:w="109"/>
        <w:gridCol w:w="109"/>
        <w:gridCol w:w="366"/>
        <w:gridCol w:w="1331"/>
        <w:gridCol w:w="267"/>
      </w:tblGrid>
      <w:tr>
        <w:trPr/>
        <w:tc>
          <w:tcPr>
            <w:tcW w:w="113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AFS investments that have been in a continuous unrealized loss position for less than 12 months and those that have been in a continuous unrealized loss position for 12 months or greater in each case as of June 30, 2026 and December 31, 2025.</w:t>
      </w:r>
    </w:p>
    <w:tbl>
      <w:tblPr>
        <w:tblW w:w="10205" w:type="dxa"/>
        <w:jc w:val="left"/>
        <w:tblInd w:w="0" w:type="dxa"/>
        <w:tblLayout w:type="fixed"/>
        <w:tblCellMar>
          <w:top w:w="28" w:type="dxa"/>
          <w:left w:w="28" w:type="dxa"/>
          <w:bottom w:w="28" w:type="dxa"/>
          <w:right w:w="28" w:type="dxa"/>
        </w:tblCellMar>
      </w:tblPr>
      <w:tblGrid>
        <w:gridCol w:w="883"/>
        <w:gridCol w:w="505"/>
        <w:gridCol w:w="432"/>
        <w:gridCol w:w="109"/>
        <w:gridCol w:w="109"/>
        <w:gridCol w:w="109"/>
        <w:gridCol w:w="265"/>
        <w:gridCol w:w="778"/>
        <w:gridCol w:w="138"/>
        <w:gridCol w:w="109"/>
        <w:gridCol w:w="109"/>
        <w:gridCol w:w="109"/>
        <w:gridCol w:w="258"/>
        <w:gridCol w:w="644"/>
        <w:gridCol w:w="134"/>
        <w:gridCol w:w="109"/>
        <w:gridCol w:w="109"/>
        <w:gridCol w:w="109"/>
        <w:gridCol w:w="322"/>
        <w:gridCol w:w="322"/>
        <w:gridCol w:w="323"/>
        <w:gridCol w:w="109"/>
        <w:gridCol w:w="109"/>
        <w:gridCol w:w="109"/>
        <w:gridCol w:w="265"/>
        <w:gridCol w:w="778"/>
        <w:gridCol w:w="138"/>
        <w:gridCol w:w="109"/>
        <w:gridCol w:w="109"/>
        <w:gridCol w:w="109"/>
        <w:gridCol w:w="258"/>
        <w:gridCol w:w="644"/>
        <w:gridCol w:w="134"/>
        <w:gridCol w:w="109"/>
        <w:gridCol w:w="109"/>
        <w:gridCol w:w="109"/>
        <w:gridCol w:w="296"/>
        <w:gridCol w:w="296"/>
        <w:gridCol w:w="430"/>
      </w:tblGrid>
      <w:tr>
        <w:trPr/>
        <w:tc>
          <w:tcPr>
            <w:tcW w:w="8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 xml:space="preserve">Losses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Issues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 xml:space="preserve">Losses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Issues</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12 months or greater: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12 months or greater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As of June 30, 2026 and December 31, 2025, the Company had an allowance for current expected credit losses (CECL) on AFS investments of $1.1 million and $0.4 million, respectively (See Note</w:t>
      </w:r>
      <w:r>
        <w:rPr>
          <w:color w:val="000000"/>
        </w:rPr>
        <w:t xml:space="preserve"> </w:t>
      </w:r>
      <w:r>
        <w:rPr>
          <w:rFonts w:ascii="Times New Roman;serif" w:hAnsi="Times New Roman;serif"/>
          <w:b w:val="false"/>
          <w:color w:val="000000"/>
          <w:sz w:val="20"/>
        </w:rPr>
        <w:t>5). Those fixed maturity securities whose total fair value was less than amortized cost at each of June 30, 2026 and December 31, 2025, were those in which the Company had no intent, need, or requirement to sell at an amount less than their amortized cost.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Realized gains and losses on investments include the gain or loss on a security at the time of sale compared to its original or adjusted cost (equity securities and other invested assets) or amortized cost (fixed maturity securities). Realized losses on fixed maturity securities are also recognized when securities are written down as a result of an other-than-temporary impairment or for unfavorable changes in CECL. Reversals of previously recognized realized losses on fixed maturity securities can also result when securities are written up for favorable changes in CECL.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Net realized gains on investments and the change in unrealized gains (losses) on the Company’s investments recorded at fair value are determined on a specific-identification basis and were as follows:</w:t>
      </w:r>
    </w:p>
    <w:tbl>
      <w:tblPr>
        <w:tblW w:w="10205" w:type="dxa"/>
        <w:jc w:val="left"/>
        <w:tblInd w:w="0" w:type="dxa"/>
        <w:tblLayout w:type="fixed"/>
        <w:tblCellMar>
          <w:top w:w="28" w:type="dxa"/>
          <w:left w:w="28" w:type="dxa"/>
          <w:bottom w:w="28" w:type="dxa"/>
          <w:right w:w="28" w:type="dxa"/>
        </w:tblCellMar>
      </w:tblPr>
      <w:tblGrid>
        <w:gridCol w:w="694"/>
        <w:gridCol w:w="352"/>
        <w:gridCol w:w="354"/>
        <w:gridCol w:w="109"/>
        <w:gridCol w:w="109"/>
        <w:gridCol w:w="109"/>
        <w:gridCol w:w="246"/>
        <w:gridCol w:w="595"/>
        <w:gridCol w:w="127"/>
        <w:gridCol w:w="109"/>
        <w:gridCol w:w="109"/>
        <w:gridCol w:w="109"/>
        <w:gridCol w:w="250"/>
        <w:gridCol w:w="529"/>
        <w:gridCol w:w="129"/>
        <w:gridCol w:w="109"/>
        <w:gridCol w:w="109"/>
        <w:gridCol w:w="109"/>
        <w:gridCol w:w="288"/>
        <w:gridCol w:w="575"/>
        <w:gridCol w:w="150"/>
        <w:gridCol w:w="109"/>
        <w:gridCol w:w="109"/>
        <w:gridCol w:w="109"/>
        <w:gridCol w:w="318"/>
        <w:gridCol w:w="798"/>
        <w:gridCol w:w="166"/>
        <w:gridCol w:w="109"/>
        <w:gridCol w:w="109"/>
        <w:gridCol w:w="109"/>
        <w:gridCol w:w="314"/>
        <w:gridCol w:w="762"/>
        <w:gridCol w:w="162"/>
        <w:gridCol w:w="109"/>
        <w:gridCol w:w="109"/>
        <w:gridCol w:w="109"/>
        <w:gridCol w:w="327"/>
        <w:gridCol w:w="857"/>
        <w:gridCol w:w="250"/>
      </w:tblGrid>
      <w:tr>
        <w:trPr/>
        <w:tc>
          <w:tcPr>
            <w:tcW w:w="6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Net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(Increase)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Decrease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CECL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Changes in Fair Value Reflected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Changes in Fair Value Reflected in AOCI </w:t>
            </w:r>
            <w:r>
              <w:rPr>
                <w:rFonts w:ascii="Times New Roman;serif" w:hAnsi="Times New Roman;serif"/>
                <w:b/>
                <w:color w:val="000000"/>
                <w:sz w:val="12"/>
              </w:rPr>
              <w:t>(1)</w:t>
            </w:r>
            <w:r>
              <w:rPr>
                <w:rFonts w:ascii="Times New Roman;serif" w:hAnsi="Times New Roman;serif"/>
                <w:b/>
                <w:color w:val="000000"/>
                <w:sz w:val="18"/>
              </w:rPr>
              <w:t>, before tax</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57"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11"/>
        <w:gridCol w:w="406"/>
        <w:gridCol w:w="109"/>
        <w:gridCol w:w="109"/>
        <w:gridCol w:w="109"/>
        <w:gridCol w:w="109"/>
        <w:gridCol w:w="211"/>
        <w:gridCol w:w="48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8"/>
        </w:rPr>
        <w:t xml:space="preserve">(1)AOCI indicates </w:t>
      </w:r>
      <w:r>
        <w:rPr>
          <w:rFonts w:ascii="Times New Roman;serif" w:hAnsi="Times New Roman;serif"/>
          <w:b w:val="false"/>
          <w:i/>
          <w:color w:val="000000"/>
          <w:sz w:val="18"/>
        </w:rPr>
        <w:t>Accumulated other comprehensive income or loss.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Proceeds from sales of fixed maturity securities were $31.7 million and $79.0 million for the three and six months ended June 30, 2026, respectively, compared to $28.7 million and $75.8 million for the three and six months ended June 30, 2025, respectively.</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Net investment income was as follows:</w:t>
      </w:r>
    </w:p>
    <w:tbl>
      <w:tblPr>
        <w:tblW w:w="7737" w:type="dxa"/>
        <w:jc w:val="left"/>
        <w:tblInd w:w="0" w:type="dxa"/>
        <w:tblLayout w:type="fixed"/>
        <w:tblCellMar>
          <w:top w:w="28" w:type="dxa"/>
          <w:left w:w="28" w:type="dxa"/>
          <w:bottom w:w="28" w:type="dxa"/>
          <w:right w:w="28" w:type="dxa"/>
        </w:tblCellMar>
      </w:tblPr>
      <w:tblGrid>
        <w:gridCol w:w="1109"/>
        <w:gridCol w:w="974"/>
        <w:gridCol w:w="977"/>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by various state laws and regulations to support, through securities on deposit or otherwise, its outstanding loss reserves in certain states in which it does business. These laws and regulations govern not only the amount but also the types of securities that are eligible for deposit. As of June 30, 2026 and December 31, 2025, securities having a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value of $585.3 million and $587.4 million, respectively, were on deposit. Additionally, standby letters of credit from the FHLB were in place in lieu of $170.0 million of securities on deposit as of both June 30, 2026 and December 31, 2025 (See Note 10).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reinsurance contracts require funds owned by the Company to be held in trust for the benefit of the ceding reinsurer to secure the outstanding liabilities assumed by the Company. The fair value of fixed maturity securities and restricted cash and cash equivalents held in trust for the benefit of ceding reinsurers at June 30, 2026 and December 31, 2025 was $3.0 million and $3.1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 xml:space="preserve">5. Current Expected Credit Losses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Premiums Receivable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Premiums receivable balances related to the Company's guaranteed cost workers’ compensation policies are all due within one year. Premiums receivable balances related to excess workers’ compensation policies may have payment terms extending beyond one year. The Company currently determines the allowance for premiums receivable based on an internal aging schedule using collectability and historical payment patterns, as well as current and expected future market conditions to determine the appropriateness of the allowance. Historical payment patterns and future market conditions provide the basis for the estimation along with similar risk characteristics and the Company's business strategy, which have not changed significantly over time. Changes in the allowance for CECL on premiums receivable are recorded through underwriting expenses. </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changes in CECL on premiums receivable.</w:t>
      </w:r>
    </w:p>
    <w:tbl>
      <w:tblPr>
        <w:tblW w:w="10205" w:type="dxa"/>
        <w:jc w:val="center"/>
        <w:tblInd w:w="0" w:type="dxa"/>
        <w:tblLayout w:type="fixed"/>
        <w:tblCellMar>
          <w:top w:w="28" w:type="dxa"/>
          <w:left w:w="28" w:type="dxa"/>
          <w:bottom w:w="28" w:type="dxa"/>
          <w:right w:w="28" w:type="dxa"/>
        </w:tblCellMar>
      </w:tblPr>
      <w:tblGrid>
        <w:gridCol w:w="2003"/>
        <w:gridCol w:w="1756"/>
        <w:gridCol w:w="1767"/>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003"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of the allowance for CECL on premiums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of the allowance for CECL on premiums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Reinsurance Recoverables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assessing an allowance for reinsurance assets, which includes reinsurance recoverables, the Company considers historical information, the financial strength ratings of reinsurers, and collateralization amounts, to determine the appropriateness of the allowance. In assessing future default, the Company evaluates the CECL allowance under the ratings-based method using AM Best's Average Cumulative Net Impairment Rates. Reinsurer ratings are also assessed through this process. Changes in the allowance for CECL on reinsurance recoverables are recorded through underwriting expenses. </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changes in CECL on reinsurance recoverables.</w:t>
      </w:r>
    </w:p>
    <w:tbl>
      <w:tblPr>
        <w:tblW w:w="10205" w:type="dxa"/>
        <w:jc w:val="center"/>
        <w:tblInd w:w="0" w:type="dxa"/>
        <w:tblLayout w:type="fixed"/>
        <w:tblCellMar>
          <w:top w:w="28" w:type="dxa"/>
          <w:left w:w="28" w:type="dxa"/>
          <w:bottom w:w="28" w:type="dxa"/>
          <w:right w:w="28" w:type="dxa"/>
        </w:tblCellMar>
      </w:tblPr>
      <w:tblGrid>
        <w:gridCol w:w="2121"/>
        <w:gridCol w:w="1865"/>
        <w:gridCol w:w="1875"/>
        <w:gridCol w:w="109"/>
        <w:gridCol w:w="109"/>
        <w:gridCol w:w="109"/>
        <w:gridCol w:w="221"/>
        <w:gridCol w:w="426"/>
        <w:gridCol w:w="113"/>
        <w:gridCol w:w="113"/>
        <w:gridCol w:w="113"/>
        <w:gridCol w:w="113"/>
        <w:gridCol w:w="221"/>
        <w:gridCol w:w="426"/>
        <w:gridCol w:w="113"/>
        <w:gridCol w:w="109"/>
        <w:gridCol w:w="109"/>
        <w:gridCol w:w="109"/>
        <w:gridCol w:w="211"/>
        <w:gridCol w:w="406"/>
        <w:gridCol w:w="109"/>
        <w:gridCol w:w="109"/>
        <w:gridCol w:w="109"/>
        <w:gridCol w:w="109"/>
        <w:gridCol w:w="211"/>
        <w:gridCol w:w="406"/>
        <w:gridCol w:w="161"/>
      </w:tblGrid>
      <w:tr>
        <w:trPr/>
        <w:tc>
          <w:tcPr>
            <w:tcW w:w="212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of the allowance for CECL on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5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5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of the allowance for CECL on reinsurance recoverables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all AFS investments in an unrealized loss position for CECL. The Company first assesses whether it intends to sell, or it is more likely than not that it will be required to sell, the security before recovery of its amortized cost basis. If either of the criteria is met, the security's amortized cost basis is written down to its fair value. For AFS investments that do not meet either criteria, the Company evaluates whether the decline in fair value has resulted from credit losses or other factors. In making this assessment, management considers the extent to which fair value is less than amortized cost, any changes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rating of the security by a rating agency, and any adverse conditions specifically related to the security, among other factors. Any impairment that has not been recorded through an allowance for credit losses is recognized in Accumulated other comprehensive income or loss on the Company's Consolidated Balance Sheets. Changes in the allowance for CECL on investments are recorded as a Realized gain or loss on investments on the Company’s Consolidated Statements of Comprehensive Income (Loss).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established an aggregate allowance for CECL on investments in the amount of $1.1 million. For the Company’s investments in fixed maturity debt securities, the allowance for CECL was determined by: (i) observing the credit characteristics of those debt securities that may have demonstrated a credit loss as of that date and by comparing the present value of cash flows expected to be collected to its amortized cost basis; and (ii) observing the credit characteristics of those debt securities that are expected to demonstrate a credit loss in the future by comparing the present value of cash flows expected to be collected to its amortized cost basis. The expected present value of cash flows are calculated using scenario- based credit loss models derived from the discounted cash flows under the Comprehensive Capital Analysis Review framework, which is adopted by the Federal Reserve.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did not intend to sell any of its AFS investments in which its amortized cost exceeded its fair value.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on AFS investments totaled $16.3 million at June 30, 2026 and is excluded from the estimate of credit losses as these amounts have been consistently received on a timely basis.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changes in the allowance for CECL on AFS investments.</w:t>
      </w:r>
    </w:p>
    <w:tbl>
      <w:tblPr>
        <w:tblW w:w="8443" w:type="dxa"/>
        <w:jc w:val="center"/>
        <w:tblInd w:w="0" w:type="dxa"/>
        <w:tblLayout w:type="fixed"/>
        <w:tblCellMar>
          <w:top w:w="28" w:type="dxa"/>
          <w:left w:w="28" w:type="dxa"/>
          <w:bottom w:w="28" w:type="dxa"/>
          <w:right w:w="28" w:type="dxa"/>
        </w:tblCellMar>
      </w:tblPr>
      <w:tblGrid>
        <w:gridCol w:w="1483"/>
        <w:gridCol w:w="1304"/>
        <w:gridCol w:w="1308"/>
        <w:gridCol w:w="109"/>
        <w:gridCol w:w="109"/>
        <w:gridCol w:w="109"/>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of CECL on AFS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CECL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in allowance from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of CECL on AFS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6. Property and Equipment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w:t>
      </w:r>
    </w:p>
    <w:tbl>
      <w:tblPr>
        <w:tblW w:w="5950" w:type="dxa"/>
        <w:jc w:val="center"/>
        <w:tblInd w:w="0" w:type="dxa"/>
        <w:tblLayout w:type="fixed"/>
        <w:tblCellMar>
          <w:top w:w="28" w:type="dxa"/>
          <w:left w:w="28" w:type="dxa"/>
          <w:bottom w:w="28" w:type="dxa"/>
          <w:right w:w="28" w:type="dxa"/>
        </w:tblCellMar>
      </w:tblPr>
      <w:tblGrid>
        <w:gridCol w:w="934"/>
        <w:gridCol w:w="820"/>
        <w:gridCol w:w="825"/>
        <w:gridCol w:w="370"/>
        <w:gridCol w:w="713"/>
        <w:gridCol w:w="191"/>
        <w:gridCol w:w="109"/>
        <w:gridCol w:w="109"/>
        <w:gridCol w:w="109"/>
        <w:gridCol w:w="484"/>
        <w:gridCol w:w="931"/>
        <w:gridCol w:w="355"/>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Depreciation expenses related to property and equipment were $0.9 million and $1.8 million for the three and six months ended June 30, 2026, respectively, and $0.9 million and $1.7 million for the three and six months ended June 30, 2025, respectively. Capitalized costs associated with internally developed software were $1.8 million during the six months ended June 30, 2026 and $2.6 million during the year ended December 31, 2025.</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Cloud Computing Arrangements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Capitalized costs associated with cloud computing arrangements totaled $15.2 million and $12.9 million, which were comprised of non-cancellable arrangements, service contract fees and implementation costs associated with hosting arrangements as of June 30, 2026 and December 31, 2025, respectively. Total amortization for these arrangements was $1.3 million and $2.4 million for the three and six months ended June 30, 2026, respectively, and $2.4 million and $5.0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the transaction. Operating leases for offices are presented as both an Operating lease right-of-use (ROU) asset and an Operating lease liability on the Company’s Consolidated Balance Sheets. Finance leases for automobiles are presented as both Property and equipment and Other liabilities on the Company’s Consolidated Balance Sheets. As of March 31, 2025, the Company no longer had finance leases for automobiles. ROU assets represent the right to use an underlying asset for the lease term and the lease liability represents the obligation to make lease payments arising from the lease transaction. Operating lease assets and liabilities are recognized at the commencement date based on the present value of the lease payments over the lease term. The Company uses collateralized incremental borrowing rates to determine the present value of lease payments. ROU assets also include lease payments less any lease incentives within a lease agreement. The Company’s lease terms may include options to extend or terminate a lease. Lease expense for lease payments is recognized on a straight-line basis over the lease term. As of June 30, 2026, the Company’s operating leases have remaining terms of one year to six years, with options to extend up to five years with no termination provision.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Components of lease expense were as follows:</w:t>
      </w:r>
    </w:p>
    <w:tbl>
      <w:tblPr>
        <w:tblW w:w="6106" w:type="dxa"/>
        <w:jc w:val="left"/>
        <w:tblInd w:w="0" w:type="dxa"/>
        <w:tblLayout w:type="fixed"/>
        <w:tblCellMar>
          <w:top w:w="28" w:type="dxa"/>
          <w:left w:w="28" w:type="dxa"/>
          <w:bottom w:w="28" w:type="dxa"/>
          <w:right w:w="28" w:type="dxa"/>
        </w:tblCellMar>
      </w:tblPr>
      <w:tblGrid>
        <w:gridCol w:w="755"/>
        <w:gridCol w:w="663"/>
        <w:gridCol w:w="667"/>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weighted average remaining lease terms for o</w:t>
      </w:r>
      <w:r>
        <w:rPr>
          <w:rFonts w:ascii="Times New Roman;serif" w:hAnsi="Times New Roman;serif"/>
          <w:b w:val="false"/>
          <w:color w:val="000000"/>
          <w:sz w:val="20"/>
        </w:rPr>
        <w:t>perating leases were 5.5 years, and the associated weighted average dis</w:t>
      </w:r>
      <w:r>
        <w:rPr>
          <w:rFonts w:ascii="Times New Roman;serif" w:hAnsi="Times New Roman;serif"/>
          <w:b w:val="false"/>
          <w:color w:val="000000"/>
          <w:sz w:val="20"/>
          <w:shd w:fill="FFFFFF" w:val="clear"/>
        </w:rPr>
        <w:t>cou</w:t>
      </w:r>
      <w:r>
        <w:rPr>
          <w:rFonts w:ascii="Times New Roman;serif" w:hAnsi="Times New Roman;serif"/>
          <w:b w:val="false"/>
          <w:color w:val="000000"/>
          <w:sz w:val="20"/>
        </w:rPr>
        <w:t>nt rate was 4.5%.</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w:t>
      </w:r>
    </w:p>
    <w:tbl>
      <w:tblPr>
        <w:tblW w:w="5588" w:type="dxa"/>
        <w:jc w:val="center"/>
        <w:tblInd w:w="0" w:type="dxa"/>
        <w:tblLayout w:type="fixed"/>
        <w:tblCellMar>
          <w:top w:w="28" w:type="dxa"/>
          <w:left w:w="28" w:type="dxa"/>
          <w:bottom w:w="28" w:type="dxa"/>
          <w:right w:w="28" w:type="dxa"/>
        </w:tblCellMar>
      </w:tblPr>
      <w:tblGrid>
        <w:gridCol w:w="688"/>
        <w:gridCol w:w="604"/>
        <w:gridCol w:w="612"/>
        <w:gridCol w:w="109"/>
        <w:gridCol w:w="109"/>
        <w:gridCol w:w="109"/>
        <w:gridCol w:w="461"/>
        <w:gridCol w:w="888"/>
        <w:gridCol w:w="241"/>
        <w:gridCol w:w="109"/>
        <w:gridCol w:w="109"/>
        <w:gridCol w:w="109"/>
        <w:gridCol w:w="394"/>
        <w:gridCol w:w="757"/>
        <w:gridCol w:w="289"/>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w:t>
      </w:r>
    </w:p>
    <w:tbl>
      <w:tblPr>
        <w:tblW w:w="6503" w:type="dxa"/>
        <w:jc w:val="center"/>
        <w:tblInd w:w="0" w:type="dxa"/>
        <w:tblLayout w:type="fixed"/>
        <w:tblCellMar>
          <w:top w:w="28" w:type="dxa"/>
          <w:left w:w="28" w:type="dxa"/>
          <w:bottom w:w="28" w:type="dxa"/>
          <w:right w:w="28" w:type="dxa"/>
        </w:tblCellMar>
      </w:tblPr>
      <w:tblGrid>
        <w:gridCol w:w="1017"/>
        <w:gridCol w:w="891"/>
        <w:gridCol w:w="897"/>
        <w:gridCol w:w="109"/>
        <w:gridCol w:w="109"/>
        <w:gridCol w:w="109"/>
        <w:gridCol w:w="370"/>
        <w:gridCol w:w="713"/>
        <w:gridCol w:w="191"/>
        <w:gridCol w:w="109"/>
        <w:gridCol w:w="109"/>
        <w:gridCol w:w="109"/>
        <w:gridCol w:w="484"/>
        <w:gridCol w:w="931"/>
        <w:gridCol w:w="355"/>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211" w:type="dxa"/>
        <w:jc w:val="center"/>
        <w:tblInd w:w="0" w:type="dxa"/>
        <w:tblLayout w:type="fixed"/>
        <w:tblCellMar>
          <w:top w:w="28" w:type="dxa"/>
          <w:left w:w="28" w:type="dxa"/>
          <w:bottom w:w="28" w:type="dxa"/>
          <w:right w:w="28" w:type="dxa"/>
        </w:tblCellMar>
      </w:tblPr>
      <w:tblGrid>
        <w:gridCol w:w="2196"/>
        <w:gridCol w:w="1927"/>
        <w:gridCol w:w="1937"/>
        <w:gridCol w:w="109"/>
        <w:gridCol w:w="109"/>
        <w:gridCol w:w="109"/>
        <w:gridCol w:w="211"/>
        <w:gridCol w:w="406"/>
        <w:gridCol w:w="109"/>
        <w:gridCol w:w="109"/>
        <w:gridCol w:w="109"/>
        <w:gridCol w:w="109"/>
        <w:gridCol w:w="211"/>
        <w:gridCol w:w="406"/>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used for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Company's income tax expense was $5.6 million and $8.2 million for the three and six months ended June 30, 2026, respectively, and $7.3 million and $10.4 million for the three and six months ended June 30, 2025, respectively. The Company’s effective tax rate was 16.1% and 17.3% for the three and six months ended June 30, 2026, respectively, and 19.7% for each of the three and six months ended June 30, 2025. The effective rates during each of the periods presented deviate favorably from the statutory rate of 21.0% due to, in part, income tax benefits and exclusions associated with tax-advantaged investment income, LPT adjustments, Deferred Gain amortization and related adjustments, income adjustments related to the Fund, and tax credits utilized.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1% excise tax on net stock repurchases. The Company's cumulative excise tax obligation was $3.8 million and $2.8 million as of June 30, 2026 and December 31, 2025, respectively, which is included in Treasury stock on its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pPr>
      <w:r>
        <w:rPr>
          <w:rFonts w:ascii="Times New Roman;serif" w:hAnsi="Times New Roman;serif"/>
          <w:b/>
          <w:color w:val="000000"/>
          <w:sz w:val="20"/>
        </w:rPr>
        <w:t>8. Liability for Unpaid Losses and Loss Adjustment Expenses</w:t>
      </w:r>
      <w:r>
        <w:rPr>
          <w:color w:val="000000"/>
        </w:rPr>
        <w:t>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reconciliation of changes in the liability for unpaid losses and LAE.</w:t>
      </w:r>
    </w:p>
    <w:tbl>
      <w:tblPr>
        <w:tblW w:w="10205" w:type="dxa"/>
        <w:jc w:val="left"/>
        <w:tblInd w:w="0" w:type="dxa"/>
        <w:tblLayout w:type="fixed"/>
        <w:tblCellMar>
          <w:top w:w="28" w:type="dxa"/>
          <w:left w:w="28" w:type="dxa"/>
          <w:bottom w:w="28" w:type="dxa"/>
          <w:right w:w="28" w:type="dxa"/>
        </w:tblCellMar>
      </w:tblPr>
      <w:tblGrid>
        <w:gridCol w:w="1676"/>
        <w:gridCol w:w="1413"/>
        <w:gridCol w:w="141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67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 excluding CECL allowance, on unpaid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unpaid losses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net of reinsurance, incurred during the period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losses and LAE incurred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losses and LAE, net of reinsurance,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paid losses and LAE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unpaid losses and LAE,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excluding CECL allowance, on unpaid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Total net losses and LAE included in the above table exclude amortization of the Deferred Gain and LPT Reserve adjustments, when applicable, which totaled $1.5 million and $2.7 million for the three and six months ended June 30, 2026, respectively, and $1.7 million and $3.3 million for the three and six months ended June 30, 2025, respectively (see Note 9).</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change in incurred losses and LAE attributable to the current period for the three and six months ended June 30, 2026, was primarily due to lower earned premiums, partially offset by a higher current accident year loss and LAE estimate.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incurred losses and LAE attributable to prior years for the three months ended June 30, 2026 included $0.3 million of net favorable loss reserve development on the Company's assigned risk business. The change in incurred losses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LAE attributable to prior years for the six months ended June 30, 2026 included $0.4 million of favorable loss reserve development on the Company's assigned risk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change in incurred losses and LAE attributable to the current period for the three and six months ended June 30, 2025, was due to a higher current accident loss and LAE estimate as unfavorable loss trends have been observed, predominantly in California due to the rapid increase in cumulative trauma (CT) claims. As a result of this increased loss activity, the Company reallocated observed favorable loss reserve development from accident years 2020 and prior to more recent accident years 2022 through 2024.</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incurred losses and LAE attributable to prior years for the three months ended June 30, 2025 included $0.3 million of net unfavorable loss reserve development on the Company's assigned risk business. The change in incurred losses and LAE attributable to prior years for the six months ended June 30, 2025, included $0.7 million of net unfavorable loss reserve development on the Company's voluntary risk business and $0.9 million of net unfavorable loss reserve development on the Company's assigned risk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9. LPT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LPT Agreement, which ceded to the reinsurers substantially all of the Fund's outstanding losses as of June 30, 1999, for claims with original dates of injury prior to July 1, 1995, provides coverage for losses up to $2.0 billion, excluding losses for burial and transportation expenses. The Deferred Gain associated with the LPT Agreement continues to be amortized using the recovery method over the life of the LPT Agreement. The amortization of the Deferred Gain and any adjustments to the Deferred Gain are recorded in losses and LAE incurred in the Company's Consolidated Statements of Comprehensive Income (Loss).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amortized $1.5 million and $1.7 million of the Deferred Gain for the three months ended June 30, 2026 and 2025, respectively, and $2.7 million and $3.3 million for the six months ended June 30, 2026 and 2025, respectively. The remaining Deferred Gain was $85.3 million and $88.0 million as of June 30, 2026 and December 31, 2025, respectively. The estimated remaining liabilities subject to the LPT Agreement were $251.6 million and $259.6 million as of June 30, 2026 and December 31, 2025, respectively. Losses and LAE paid with respect to the LPT Agreement totaled $921.1 million and $913.1 million from inception through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10. Financing Arrangements</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EHI entered into the Credit Agreement with Wells Fargo Bank, National Association, as both administrative agent and issuing lender. The Credit Agreement provides for a $25.0 million unsecured, three-year revolving credit facility and is guaranteed by certain of EHI’s wholly owned subsidiaries, Employers Group, Inc. (EGI) and Cerity Group, Inc. (CGI). On July 29, 2026, EHI and Wells Fargo Bank, National Association, entered into Amendment No. 1 to the Credit Agreement. The Credit Agreement provides for a $35.0 million, unsecured, three-year revolving credit facility and remains guaranteed by EGI and CGI (see Note 15). Borrowings under the Credit Agreement may be used for working capital and general corporate purposes of EHI and its subsidiaries. </w:t>
      </w:r>
    </w:p>
    <w:p>
      <w:pPr>
        <w:pStyle w:val="TextBody"/>
        <w:bidi w:val="0"/>
        <w:spacing w:lineRule="auto" w:line="288" w:before="60" w:after="120"/>
        <w:jc w:val="both"/>
        <w:rPr/>
      </w:pPr>
      <w:r>
        <w:rPr>
          <w:rFonts w:ascii="Times New Roman;serif" w:hAnsi="Times New Roman;serif"/>
          <w:b w:val="false"/>
          <w:color w:val="000000"/>
          <w:sz w:val="20"/>
        </w:rPr>
        <w:t>The interest rates applicable to loans under the Credit Agreement are generally based on either, at EHI's option: (i) a base rate, defined as the higher of the Prime Rate, the Federal Funds Rate plus 0.50% and the Adjusted Term SOFR for a one-month tenor plus 1.00%, or (ii) an Adjusted Term SOFR, defined as the applicable Adjusted Term SOFR, plus 1.50%. In addition, EHI is subject to a fee on the lender’s unused commitment, ranging from 0.30% to 0.55%. The applicable margin and the amount of such commitment fee vary based upon the financial strength rating of EHI’s insurance subsidiaries as most recently announced by AM Best or EHI’s debt to total capitalization ratio if such financial strength rating is not available. Interest paid and/or fees incurred pursuant to the Credit Agreement, as applicabl</w:t>
      </w:r>
      <w:r>
        <w:rPr>
          <w:rFonts w:ascii="Times New Roman;serif" w:hAnsi="Times New Roman;serif"/>
          <w:b w:val="false"/>
          <w:color w:val="000000"/>
          <w:sz w:val="20"/>
          <w:shd w:fill="FFFFFF" w:val="clear"/>
        </w:rPr>
        <w:t>e, was</w:t>
      </w:r>
      <w:r>
        <w:rPr>
          <w:color w:val="000000"/>
        </w:rPr>
        <w:t xml:space="preserve"> </w:t>
      </w:r>
      <w:r>
        <w:rPr>
          <w:rFonts w:ascii="Times New Roman;serif" w:hAnsi="Times New Roman;serif"/>
          <w:b w:val="false"/>
          <w:color w:val="000000"/>
          <w:sz w:val="20"/>
        </w:rPr>
        <w:t>$0.3 million and less than $0.1 million for the three months ended June 30, 2026 and 2025, respectively, and $0.4 million and $0.1 million for the six months ended June 30, 2026 and 2025, respectively.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covenants that require EHI and its consolidated subsidiaries to maintain: (i) a minimum consolidated net worth, defined as EHI’s total stockholders’ equity excluding any accumulated other comprehensive income or loss, of no less than $800.0 million; and (ii) a debt to total capitalization ratio of no more than 35%, in each case as determined in accordance with the Credit Agreement. As of June 30, 2026, EHI has remained in compliance with all of the covenants associated with the Credit Agreement since its inception.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EHI incurred $0.2 million in debt issuance costs in connection with the Credit Agreement, which are being amortized over the three-year life in Interest and financing expenses on the Company's Consolidated Statements of Comprehensive Income (Loss). The annual commitment fee on the unused portion of the facility is 0.30%, for a maximum of $75,000.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17, 2026, EHI borrowed $20.0 million under the Credit Agreement as part of the Company’s recapitalization plan. The advance bears interest at a rate of 5.15% based on the three-month Adjusted Term SOFR, with a reset date of August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2026. As of June 30, 2026, $20.0 million was outstanding under the Credit Agreement. The outstanding balance is classified as long-term debt based on the amended Credit Agreement's expiration date of July 29, 2029. Advances can be repaid at any time without prepayment penalties or additional fees. </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FHLB</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Each of the Company's insurance subsidiaries are members of the FHLB. Membership allows the insurance subsidiaries access to collateralized advances, which may be used to support and enhance liquidity management. The amount of advances that may be taken is dependent on statutory admitted assets on a per company basis. The following table summarizes the terms and maturities of the advances outstanding at June 30, 2026.</w:t>
      </w:r>
    </w:p>
    <w:tbl>
      <w:tblPr>
        <w:tblW w:w="6320" w:type="dxa"/>
        <w:jc w:val="left"/>
        <w:tblInd w:w="0" w:type="dxa"/>
        <w:tblLayout w:type="fixed"/>
        <w:tblCellMar>
          <w:top w:w="28" w:type="dxa"/>
          <w:left w:w="28" w:type="dxa"/>
          <w:bottom w:w="28" w:type="dxa"/>
          <w:right w:w="28" w:type="dxa"/>
        </w:tblCellMar>
      </w:tblPr>
      <w:tblGrid>
        <w:gridCol w:w="625"/>
        <w:gridCol w:w="548"/>
        <w:gridCol w:w="552"/>
        <w:gridCol w:w="315"/>
        <w:gridCol w:w="315"/>
        <w:gridCol w:w="316"/>
        <w:gridCol w:w="211"/>
        <w:gridCol w:w="616"/>
        <w:gridCol w:w="109"/>
        <w:gridCol w:w="263"/>
        <w:gridCol w:w="263"/>
        <w:gridCol w:w="658"/>
        <w:gridCol w:w="447"/>
        <w:gridCol w:w="447"/>
        <w:gridCol w:w="635"/>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Advance</w:t>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Borrower</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Amount </w:t>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632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EICN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February 5, 2026</w:t>
            </w:r>
            <w:r>
              <w:rPr>
                <w:rFonts w:ascii="Times New Roman;serif" w:hAnsi="Times New Roman;serif"/>
                <w:b w:val="false"/>
                <w:color w:val="000000"/>
                <w:sz w:val="13"/>
              </w:rPr>
              <w:t>(1)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EICN</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2026</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ECIC</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8, 2026</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EAC</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16, 2026</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EPIC</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CIC</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5, 2029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On February 5, 2026, the terms of this advance were revised from an interest rate of 3.70% and a maturity date of December 21, 2026, to an interest rate of 3.79% and a maturity date of May 31, 2029.</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These advances were assumed by EHI through intercompany loan agreements and executed as part of the Company’s recapitalization plan. Interest incurred and paid on these borrowings during the three and six months ended June 30, 2026 was $1.0 million and $1.9 million, respectively.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FHLB membership also allows the Company’s insurance subsidiaries access to standby letters of credit (Letter of Credit Agreements). Letter of Credit Agreements issued must be fully secured with eligible collateral at all times and are subject to annual maintenance charges and a fee of 15 basis points on issued amounts. As of both June 30, 2026 and December 31, 2025, letters of credit totaling $170.0 million were issued in lieu of securities on deposit with the State of California under the Letter of Credit Agreements. The Letter of Credit Agreements currently in effect expire on March 31, 2027, and will remain evergreen with automatic one-year extensions unless the FHLB notifies the beneficiary at least 60 days prior to the then applicable expiration date of its election not to renew.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investment securities having a fair value of $423.6 million and $468.6 million, respectively, were on deposit with the FHLB by the Company’s insurance subsidiaries. Of these amounts, approximately $297.2 million and $221.5 million support the Letter of Credit Agreements and advances at each period, while the remaining invested assets are on deposit with FHLB as custodian.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 xml:space="preserve">11. Accumulated Other Comprehensive (Loss) Income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is comprised of unrealized gains and losses on investments classified as AFS, net of deferred taxes. The following table summarizes the components of accumulated other comprehensive (loss) income:</w:t>
      </w:r>
    </w:p>
    <w:tbl>
      <w:tblPr>
        <w:tblW w:w="8858" w:type="dxa"/>
        <w:jc w:val="left"/>
        <w:tblInd w:w="0" w:type="dxa"/>
        <w:tblLayout w:type="fixed"/>
        <w:tblCellMar>
          <w:top w:w="28" w:type="dxa"/>
          <w:left w:w="28" w:type="dxa"/>
          <w:bottom w:w="28" w:type="dxa"/>
          <w:right w:w="28" w:type="dxa"/>
        </w:tblCellMar>
      </w:tblPr>
      <w:tblGrid>
        <w:gridCol w:w="1868"/>
        <w:gridCol w:w="1641"/>
        <w:gridCol w:w="1650"/>
        <w:gridCol w:w="109"/>
        <w:gridCol w:w="109"/>
        <w:gridCol w:w="109"/>
        <w:gridCol w:w="297"/>
        <w:gridCol w:w="825"/>
        <w:gridCol w:w="153"/>
        <w:gridCol w:w="109"/>
        <w:gridCol w:w="109"/>
        <w:gridCol w:w="109"/>
        <w:gridCol w:w="484"/>
        <w:gridCol w:w="931"/>
        <w:gridCol w:w="355"/>
      </w:tblGrid>
      <w:tr>
        <w:trPr/>
        <w:tc>
          <w:tcPr>
            <w:tcW w:w="186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(losses) gains on AFS investments,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 on net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Company awarded restricted stock units (RSUs) and performance share units (PSUs) to certain employees and non-employee Directors of the Company as follows:</w:t>
      </w:r>
    </w:p>
    <w:tbl>
      <w:tblPr>
        <w:tblW w:w="10205" w:type="dxa"/>
        <w:jc w:val="center"/>
        <w:tblInd w:w="0" w:type="dxa"/>
        <w:tblLayout w:type="fixed"/>
        <w:tblCellMar>
          <w:top w:w="28" w:type="dxa"/>
          <w:left w:w="28" w:type="dxa"/>
          <w:bottom w:w="28" w:type="dxa"/>
          <w:right w:w="28" w:type="dxa"/>
        </w:tblCellMar>
      </w:tblPr>
      <w:tblGrid>
        <w:gridCol w:w="393"/>
        <w:gridCol w:w="346"/>
        <w:gridCol w:w="347"/>
        <w:gridCol w:w="534"/>
        <w:gridCol w:w="498"/>
        <w:gridCol w:w="499"/>
        <w:gridCol w:w="109"/>
        <w:gridCol w:w="109"/>
        <w:gridCol w:w="109"/>
        <w:gridCol w:w="817"/>
        <w:gridCol w:w="2386"/>
        <w:gridCol w:w="421"/>
        <w:gridCol w:w="109"/>
        <w:gridCol w:w="109"/>
        <w:gridCol w:w="109"/>
        <w:gridCol w:w="109"/>
        <w:gridCol w:w="109"/>
        <w:gridCol w:w="844"/>
        <w:gridCol w:w="1626"/>
        <w:gridCol w:w="622"/>
      </w:tblGrid>
      <w:tr>
        <w:trPr/>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Awarded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Fair Value on 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Fair Value on Date of Grant</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2026</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RSUs</w:t>
            </w:r>
            <w:r>
              <w:rPr>
                <w:rFonts w:ascii="Times New Roman;serif" w:hAnsi="Times New Roman;serif"/>
                <w:b w:val="false"/>
                <w:color w:val="000000"/>
                <w:sz w:val="13"/>
              </w:rPr>
              <w:t>(1)</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(2)</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May 2026</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RSUs</w:t>
            </w:r>
            <w:r>
              <w:rPr>
                <w:rFonts w:ascii="Times New Roman;serif" w:hAnsi="Times New Roman;serif"/>
                <w:b w:val="false"/>
                <w:color w:val="000000"/>
                <w:sz w:val="13"/>
              </w:rPr>
              <w:t>(3)</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RSUs</w:t>
            </w:r>
            <w:r>
              <w:rPr>
                <w:rFonts w:ascii="Times New Roman;serif" w:hAnsi="Times New Roman;serif"/>
                <w:b w:val="false"/>
                <w:color w:val="000000"/>
                <w:sz w:val="13"/>
              </w:rPr>
              <w:t>(4)</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(1)These RSUs were awarded to certain employees of the Company and vest 25% on March 15, 2027 and each of the subsequent three anniversaries of that date.</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(2)These PSUs were awarded to certain employees of the Company and have a performance period of three years. The PSU awards are subject to certain performance goals with payouts that range from 0% to 200% of the target awards. The value shown in the table represents the aggregate number of PSUs awarded at the target level.</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These RSUs were awarded to certain employees of the Company and vest 25% on May 15, 2027 and each of the subsequent three anniversaries of that date.</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All RSUs awarded on this date were awarded to non-employee directors of the Company and vest in full on May 28, 2027.</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Employees who are awarded RSUs and PSUs are entitled to receive dividend equivalents for eligible awards, payable in cash, when and if, the underlying award vests and becomes payable. If the underlying award does not vest or is forfeited, dividend equivalents with respect to the underlying award fail to become payable and are forfeited.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RSUs and PSUs are subject to accelerated vesting in certain circumstances, including but not limited to: death, disability, retirement, or in connection with a change of control of the Company.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224,086 RSUs and 252,751 PSUs (based on the target achievement for the PSUs awarded)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13. Earnings Per Common Share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 average number of common shares outstanding for the period. Diluted earnings per share reflects the potential dilutive impact of all common stock equivalents on earnings per share. Diluted earnings per share includes common shares assumed issued under the “treasury stock method,” which reflects the potential dilution that would occur if outstanding RSUs and PSUs vested.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No outstanding RSUs and PSUs are considered in the Company’s diluted earnings per share computations in any period that involves a net loss because their inclusion would be anti-dilutive.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Employees who are awarded RSUs and PSUs are entitled to receive dividend equivalents for eligible awards, payable in cash, when and if the underlying award vests and becomes payable. Therefore, these awards are not considered participating securities for the purposes of determining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income and the weighted average number of shares outstanding used in the earnings per common share calculations.</w:t>
      </w:r>
    </w:p>
    <w:tbl>
      <w:tblPr>
        <w:tblW w:w="10205" w:type="dxa"/>
        <w:jc w:val="left"/>
        <w:tblInd w:w="0" w:type="dxa"/>
        <w:tblLayout w:type="fixed"/>
        <w:tblCellMar>
          <w:top w:w="28" w:type="dxa"/>
          <w:left w:w="28" w:type="dxa"/>
          <w:bottom w:w="28" w:type="dxa"/>
          <w:right w:w="28" w:type="dxa"/>
        </w:tblCellMar>
      </w:tblPr>
      <w:tblGrid>
        <w:gridCol w:w="1480"/>
        <w:gridCol w:w="1299"/>
        <w:gridCol w:w="1312"/>
        <w:gridCol w:w="109"/>
        <w:gridCol w:w="109"/>
        <w:gridCol w:w="109"/>
        <w:gridCol w:w="315"/>
        <w:gridCol w:w="766"/>
        <w:gridCol w:w="109"/>
        <w:gridCol w:w="109"/>
        <w:gridCol w:w="109"/>
        <w:gridCol w:w="109"/>
        <w:gridCol w:w="315"/>
        <w:gridCol w:w="766"/>
        <w:gridCol w:w="109"/>
        <w:gridCol w:w="109"/>
        <w:gridCol w:w="109"/>
        <w:gridCol w:w="109"/>
        <w:gridCol w:w="315"/>
        <w:gridCol w:w="766"/>
        <w:gridCol w:w="109"/>
        <w:gridCol w:w="109"/>
        <w:gridCol w:w="109"/>
        <w:gridCol w:w="109"/>
        <w:gridCol w:w="315"/>
        <w:gridCol w:w="766"/>
        <w:gridCol w:w="155"/>
      </w:tblGrid>
      <w:tr>
        <w:trPr/>
        <w:tc>
          <w:tcPr>
            <w:tcW w:w="14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share data)</w:t>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18,177,755 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24,005,881 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18,765,244 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24,201,160 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dilutive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18,289,789 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24,136,221 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18,894,544 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24,370,311 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60" w:after="120"/>
        <w:jc w:val="both"/>
        <w:rPr/>
      </w:pPr>
      <w:r>
        <w:rPr>
          <w:rFonts w:ascii="Times New Roman;serif" w:hAnsi="Times New Roman;serif"/>
          <w:b w:val="false"/>
          <w:color w:val="000000"/>
          <w:sz w:val="20"/>
        </w:rPr>
        <w:t xml:space="preserve">The Company operates as a single reportable segment, </w:t>
      </w:r>
      <w:r>
        <w:rPr>
          <w:rFonts w:ascii="Times New Roman;serif" w:hAnsi="Times New Roman;serif"/>
          <w:b w:val="false"/>
          <w:i/>
          <w:color w:val="000000"/>
          <w:sz w:val="20"/>
        </w:rPr>
        <w:t>Insurance Operations</w:t>
      </w:r>
      <w:r>
        <w:rPr>
          <w:rFonts w:ascii="Times New Roman;serif" w:hAnsi="Times New Roman;serif"/>
          <w:b w:val="false"/>
          <w:color w:val="000000"/>
          <w:sz w:val="20"/>
        </w:rPr>
        <w:t>, providing workers' compensation insurance through its wholly owned subsidiaries. The segment represents the Company's traditional business offered through its agents, including business originated from its strategic partnerships and alliances, and its direct-to-customer business. Revenues for the Insurance Operations segment are generated primarily from earned workers' compensation premiums, investment income, and realized and unrealized gains (losses) on investments. The Company does not have intra-entity sales or transfers.</w:t>
      </w:r>
    </w:p>
    <w:p>
      <w:pPr>
        <w:pStyle w:val="TextBody"/>
        <w:bidi w:val="0"/>
        <w:spacing w:lineRule="auto" w:line="288" w:before="60" w:after="120"/>
        <w:jc w:val="both"/>
        <w:rPr/>
      </w:pPr>
      <w:r>
        <w:rPr>
          <w:rFonts w:ascii="Times New Roman;serif" w:hAnsi="Times New Roman;serif"/>
          <w:b w:val="false"/>
          <w:color w:val="000000"/>
          <w:sz w:val="20"/>
        </w:rPr>
        <w:t xml:space="preserve">The Company considers an operating segment to be any component of its business whose operating results are regularly reviewed by the CODM (the Company's President and Chief Executive Officer) to make key decisions about resources to be allocated and to assess its performance. Performance is determined based on multiple measures, including net income, the Company’s combined ratio, and the Company’s adjusted stockholders' equity. Net income, which is reported on the Company's Consolidated Statements of Comprehensive Income (Loss), is a comprehensive measure used to determine the Company’s overall profitability. The combined ratio, which is a widely-used measure in the property and casualty insurance industry, is used to determine whether the Company is generating an underwriting profit or loss. Adjusted stockholders' equity, a non-GAAP measure of financial strength and overall performance, is used as a performance measure for PSUs and is defined as: </w:t>
      </w:r>
      <w:r>
        <w:rPr>
          <w:rFonts w:ascii="Times New Roman;serif" w:hAnsi="Times New Roman;serif"/>
          <w:b w:val="false"/>
          <w:i/>
          <w:color w:val="000000"/>
          <w:sz w:val="20"/>
        </w:rPr>
        <w:t>Total stockholders' equity plus Deferred reinsurance gain - LPT Agreement less Accumulated other comprehensive income (loss), net of tax</w:t>
      </w:r>
      <w:r>
        <w:rPr>
          <w:rFonts w:ascii="Times New Roman;serif" w:hAnsi="Times New Roman;serif"/>
          <w:b w:val="false"/>
          <w:color w:val="000000"/>
          <w:sz w:val="20"/>
        </w:rPr>
        <w:t xml:space="preserv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measurement of segment assets is reported on the Company's Consolidated Balance Sheet as Total assets. The accounting policies of the Insurance Operations segment are the same as those described in the Annual Report.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 ASU 2023-07, the Company is required to disclose segment reporting requirements even as a single reportable segment, which includes additional disclosures regarding profit and loss information, as well as a further breakdown of significant expenses. The following table summarizes the Company's written premiums and components of net income, and significant segment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60" w:after="120"/>
        <w:jc w:val="both"/>
        <w:rPr/>
      </w:pPr>
      <w:r>
        <w:rPr/>
      </w:r>
    </w:p>
    <w:tbl>
      <w:tblPr>
        <w:tblW w:w="7887" w:type="dxa"/>
        <w:jc w:val="center"/>
        <w:tblInd w:w="0" w:type="dxa"/>
        <w:tblLayout w:type="fixed"/>
        <w:tblCellMar>
          <w:top w:w="28" w:type="dxa"/>
          <w:left w:w="28" w:type="dxa"/>
          <w:bottom w:w="28" w:type="dxa"/>
          <w:right w:w="28" w:type="dxa"/>
        </w:tblCellMar>
      </w:tblPr>
      <w:tblGrid>
        <w:gridCol w:w="1504"/>
        <w:gridCol w:w="1323"/>
        <w:gridCol w:w="1328"/>
        <w:gridCol w:w="109"/>
        <w:gridCol w:w="109"/>
        <w:gridCol w:w="109"/>
        <w:gridCol w:w="372"/>
        <w:gridCol w:w="1086"/>
        <w:gridCol w:w="477"/>
        <w:gridCol w:w="109"/>
        <w:gridCol w:w="109"/>
        <w:gridCol w:w="109"/>
        <w:gridCol w:w="211"/>
        <w:gridCol w:w="616"/>
        <w:gridCol w:w="316"/>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Insurance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Compensation-related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Information technology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underwriting expenses</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AO and other expense allocations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 taxes and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Policyholder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CECL related to premiums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color w:val="000000"/>
              </w:rPr>
              <w:t xml:space="preserve">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gain—LPT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stockholders' equity</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60" w:after="120"/>
        <w:jc w:val="both"/>
        <w:rPr/>
      </w:pPr>
      <w:r>
        <w:rPr/>
      </w:r>
    </w:p>
    <w:tbl>
      <w:tblPr>
        <w:tblW w:w="8037" w:type="dxa"/>
        <w:jc w:val="center"/>
        <w:tblInd w:w="0" w:type="dxa"/>
        <w:tblLayout w:type="fixed"/>
        <w:tblCellMar>
          <w:top w:w="28" w:type="dxa"/>
          <w:left w:w="28" w:type="dxa"/>
          <w:bottom w:w="28" w:type="dxa"/>
          <w:right w:w="28" w:type="dxa"/>
        </w:tblCellMar>
      </w:tblPr>
      <w:tblGrid>
        <w:gridCol w:w="1505"/>
        <w:gridCol w:w="1322"/>
        <w:gridCol w:w="1328"/>
        <w:gridCol w:w="109"/>
        <w:gridCol w:w="109"/>
        <w:gridCol w:w="109"/>
        <w:gridCol w:w="327"/>
        <w:gridCol w:w="1188"/>
        <w:gridCol w:w="420"/>
        <w:gridCol w:w="109"/>
        <w:gridCol w:w="109"/>
        <w:gridCol w:w="109"/>
        <w:gridCol w:w="211"/>
        <w:gridCol w:w="766"/>
        <w:gridCol w:w="316"/>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Insurance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Compensation-related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Information technology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underwriting expenses</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AO and other expense allocations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 taxes and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Policyholder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related to premiums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gain—LPT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stockholders' equity</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60" w:after="120"/>
        <w:jc w:val="both"/>
        <w:rPr/>
      </w:pPr>
      <w:r>
        <w:rPr/>
      </w:r>
    </w:p>
    <w:tbl>
      <w:tblPr>
        <w:tblW w:w="7886" w:type="dxa"/>
        <w:jc w:val="center"/>
        <w:tblInd w:w="0" w:type="dxa"/>
        <w:tblLayout w:type="fixed"/>
        <w:tblCellMar>
          <w:top w:w="28" w:type="dxa"/>
          <w:left w:w="28" w:type="dxa"/>
          <w:bottom w:w="28" w:type="dxa"/>
          <w:right w:w="28" w:type="dxa"/>
        </w:tblCellMar>
      </w:tblPr>
      <w:tblGrid>
        <w:gridCol w:w="1505"/>
        <w:gridCol w:w="1322"/>
        <w:gridCol w:w="1327"/>
        <w:gridCol w:w="109"/>
        <w:gridCol w:w="109"/>
        <w:gridCol w:w="109"/>
        <w:gridCol w:w="372"/>
        <w:gridCol w:w="1086"/>
        <w:gridCol w:w="477"/>
        <w:gridCol w:w="109"/>
        <w:gridCol w:w="109"/>
        <w:gridCol w:w="109"/>
        <w:gridCol w:w="211"/>
        <w:gridCol w:w="616"/>
        <w:gridCol w:w="316"/>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Insurance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Compensation-related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Information technology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underwriting expenses</w:t>
            </w:r>
            <w:r>
              <w:rPr>
                <w:rFonts w:ascii="Times New Roman;serif" w:hAnsi="Times New Roman;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AO and other expense allocations</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 taxes and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Policyholder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related to premiums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gain—LPT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stockholders' equity</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60" w:after="120"/>
        <w:jc w:val="both"/>
        <w:rPr/>
      </w:pPr>
      <w:r>
        <w:rPr/>
      </w:r>
    </w:p>
    <w:tbl>
      <w:tblPr>
        <w:tblW w:w="8036" w:type="dxa"/>
        <w:jc w:val="center"/>
        <w:tblInd w:w="0" w:type="dxa"/>
        <w:tblLayout w:type="fixed"/>
        <w:tblCellMar>
          <w:top w:w="28" w:type="dxa"/>
          <w:left w:w="28" w:type="dxa"/>
          <w:bottom w:w="28" w:type="dxa"/>
          <w:right w:w="28" w:type="dxa"/>
        </w:tblCellMar>
      </w:tblPr>
      <w:tblGrid>
        <w:gridCol w:w="1505"/>
        <w:gridCol w:w="1322"/>
        <w:gridCol w:w="1327"/>
        <w:gridCol w:w="109"/>
        <w:gridCol w:w="109"/>
        <w:gridCol w:w="109"/>
        <w:gridCol w:w="327"/>
        <w:gridCol w:w="1188"/>
        <w:gridCol w:w="420"/>
        <w:gridCol w:w="109"/>
        <w:gridCol w:w="109"/>
        <w:gridCol w:w="109"/>
        <w:gridCol w:w="211"/>
        <w:gridCol w:w="766"/>
        <w:gridCol w:w="316"/>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Insurance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Compensation-related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Information technology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expenses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underwriting expenses</w:t>
            </w:r>
            <w:r>
              <w:rPr>
                <w:rFonts w:ascii="Times New Roman;serif" w:hAnsi="Times New Roman;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AO and other expense allocations</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 taxes and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Policyholder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 related to premiums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gain—LPT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stockholders' equity</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(1)Certain underwriting expenses are shown prior to adjusting and other (AO) and other expense allocations.</w:t>
      </w:r>
    </w:p>
    <w:p>
      <w:pPr>
        <w:pStyle w:val="TextBody"/>
        <w:bidi w:val="0"/>
        <w:spacing w:lineRule="auto" w:line="288" w:before="60" w:after="6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(2)Other underwriting segment expenses include marketing and advertising, travel, corporate insurance, payment processing fees, and other miscellaneous expenses.</w:t>
      </w:r>
    </w:p>
    <w:p>
      <w:pPr>
        <w:pStyle w:val="TextBody"/>
        <w:bidi w:val="0"/>
        <w:spacing w:lineRule="auto" w:line="288" w:before="60" w:after="6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(3)AO allocations consist of those underwriting expenses that relate to claims handling activities, which are allocated to loss adjustment expenses. Other allocations consist primarily of those underwriting expenses that relate to investing activities, which are allocated to net investment income, and nurse billing expenses that constitute defense and cost containment costs, which are allocated to loss adjustment expenses.</w:t>
      </w:r>
    </w:p>
    <w:p>
      <w:pPr>
        <w:pStyle w:val="TextBody"/>
        <w:bidi w:val="0"/>
        <w:spacing w:lineRule="auto" w:line="288" w:before="60" w:after="6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(4)There are no reconciling adjustments to consolidated net income.</w:t>
      </w:r>
    </w:p>
    <w:p>
      <w:pPr>
        <w:pStyle w:val="TextBody"/>
        <w:bidi w:val="0"/>
        <w:spacing w:lineRule="auto" w:line="288" w:before="60" w:after="6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(5)Adjusted stockholders' equity is a non-GAAP measure. </w:t>
      </w:r>
    </w:p>
    <w:p>
      <w:pPr>
        <w:pStyle w:val="TextBody"/>
        <w:bidi w:val="0"/>
        <w:spacing w:before="60" w:after="6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Entity-Wide Disclosures</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solely within the U.S. and does not have revenue from transactions with a single policyholder accounting for 10% or more of its revenues. Gross premiums written for the trailing twelve months (TTM) represent the past twelve consecutive months of the Company's new and renewal premiums including policy endorsements and final audit premiums. The Company's management focuses on TTM gross premiums written to evaluate financial performance and ensure a comprehensive assessment of growth and stability. Additionally, the Company focuses on policies in-force as they represent policies available for renewal in the future. The following table shows our gross premiums written for TTM, number of policies in-force for each of our largest states and all other states combined, plus or minus our additional premiums, which includes final audit premium accruals, non-compliant surcharges, and assigned risk premiums for the periods presented:</w:t>
      </w:r>
    </w:p>
    <w:tbl>
      <w:tblPr>
        <w:tblW w:w="9905" w:type="dxa"/>
        <w:jc w:val="left"/>
        <w:tblInd w:w="0" w:type="dxa"/>
        <w:tblLayout w:type="fixed"/>
        <w:tblCellMar>
          <w:top w:w="28" w:type="dxa"/>
          <w:left w:w="28" w:type="dxa"/>
          <w:bottom w:w="28" w:type="dxa"/>
          <w:right w:w="28" w:type="dxa"/>
        </w:tblCellMar>
      </w:tblPr>
      <w:tblGrid>
        <w:gridCol w:w="1187"/>
        <w:gridCol w:w="1042"/>
        <w:gridCol w:w="1055"/>
        <w:gridCol w:w="109"/>
        <w:gridCol w:w="109"/>
        <w:gridCol w:w="109"/>
        <w:gridCol w:w="335"/>
        <w:gridCol w:w="1004"/>
        <w:gridCol w:w="175"/>
        <w:gridCol w:w="109"/>
        <w:gridCol w:w="109"/>
        <w:gridCol w:w="109"/>
        <w:gridCol w:w="419"/>
        <w:gridCol w:w="422"/>
        <w:gridCol w:w="261"/>
        <w:gridCol w:w="109"/>
        <w:gridCol w:w="109"/>
        <w:gridCol w:w="109"/>
        <w:gridCol w:w="335"/>
        <w:gridCol w:w="1004"/>
        <w:gridCol w:w="175"/>
        <w:gridCol w:w="109"/>
        <w:gridCol w:w="109"/>
        <w:gridCol w:w="109"/>
        <w:gridCol w:w="419"/>
        <w:gridCol w:w="422"/>
        <w:gridCol w:w="342"/>
      </w:tblGrid>
      <w:tr>
        <w:trPr/>
        <w:tc>
          <w:tcPr>
            <w:tcW w:w="11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Premiums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Written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(TTM)</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Policies</w:t>
              <w:br/>
              <w:t>In-force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Premiums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Written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(TTM)</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16"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Policies</w:t>
              <w:br/>
              <w:t>In-force</w:t>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8"/>
              </w:rPr>
              <w:t>(43 states and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excluding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663.1</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127,601</w:t>
            </w:r>
            <w:r>
              <w:rPr>
                <w:color w:val="000000"/>
              </w:rPr>
              <w:t>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771.2</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134,421</w:t>
            </w:r>
            <w:r>
              <w:rPr>
                <w:color w:val="000000"/>
              </w:rPr>
              <w:t>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Final audit premium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Surcharges and assigned risk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684.9</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127,601</w:t>
            </w:r>
            <w:r>
              <w:rPr>
                <w:color w:val="000000"/>
              </w:rPr>
              <w:t>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772.9</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134,421</w:t>
            </w:r>
            <w:r>
              <w:rPr>
                <w:color w:val="000000"/>
              </w:rPr>
              <w:t>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15. Subsequent Event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May 28, 2024, EHI entered into the Credit Agreement, which provided for a $25.0 million, unsecured, three-year revolving credit facility and is guaranteed by EGI and CGI. On July 29, 2026, EHI and Wells Fargo Bank, National Association, entered into Amendment No. 1 to the Credit Agreement. The Amendment increases the Credit Agreement to $35.0 million, extends the agreement through July 29, 2029, and remains guaranteed by EGI and CGI. To reflect the Company's recapitalization plan, the Amendment also reduces the minimum consolidated net worth covenant from $800.0 million to $700.0 million and the maximum debt to total capitalization ratio from 35.0% to 27.5%, applicable to fiscal quarters ending after the effective date. All other substantive terms of the Credit Agreement remain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Consolidated Financial Condition and Results of Operations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and analysis in conjunction with our consolidated financial statements and the related notes thereto included in Item 1 of Part I. Unless otherwise indicated, all references to "we," "us," "our," "the Company," or similar terms refer to EHI, together with its subsidiaries. In this Quarterly Report on Form 10-Q, the Company and its management discuss and make statements based on currently available information regarding their intentions, beliefs, current expectations, and projections of, among other things, the Company's future performance, economic or market conditions, including current or future levels of inflation, potential implications of tariffs, changes in interest rates, labor market expectations, catastrophic events or geopolitical conditions, legislative or regulatory actions or court decisions, business growth, retention rates, loss costs, claim trends and the impact of key business initiatives, future technologies and planned investments. Certain of these statements may constitute "forward-looking" statements as that term is defined in the Private Securities Litigation Reform Act of 1995. Forward-looking statements can be identified by the fact that they do not relate strictly to historical or current facts and are often identified by words such as "may," "will," "could," "would," "should," "expect," "plan," "anticipate," "target," "project," "intend," "believe," "estimate," "predict," "potential," "pro forma," "seek," "likely," or "continue," or other comparable terminology and their negatives. The Company and its management caution investors that such forward-looking statements are not guarantees of future performance. Risks and uncertainties are inherent in the Company’s future performance. Factors that could cause the Company's actual results to differ materially from those indicated by such forward-looking statements include, among other things, those discussed or identified from time to time in the Company’s public filings with the SEC, including the risks detailed in the Company's Annual Reports on Form 10-K and in the Company's subsequent Quarterly Reports on Form 10-Q. Except as required by applicable securities laws, the Company undertakes no obligation to publicly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Nevada holding company with insurance subsidiaries that are specialty providers of workers’ compensation insurance and related services. Workers’ compensation insurance is provided under a statutory system wherein most employers are required to provide coverage for their employees’ medical, disability, vocational rehabilitation, and/or death benefit costs for work-related injuries or illnesses.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provide workers’ compensation insurance throughout most of the United States, with a concentration in California, where 47% of our trailing twelve month gross written premiums, excluding adjustments, are generated. In February 2026, we launched a new excess workers’ compensation product focused on self-insured enterprises in several jurisdictions across the United States. We wrote our first excess workers’ compensation policy in June 2026. Our revenues primarily consist of net premiums earned, net investment income, and net realized and unrealized gains and losses on 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insurance industry is highly competitive based on price and quality of services. We compete with other specialty workers’ compensation carriers, state agencies, multi-line insurance companies, professional employer organizations, self-insurance funds, and state insurance pools.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guaranteed cost workers’ compensation, we believe we can price our policies at levels that are competitive and profitable over the long term given our expertise in underwriting and claims handling and our decades of data and experience. We target small to mid-sized businesses, as we believe this market is traditionally characterized by higher profitability and longer retention. Our distribution strategy consists of establishing and maintaining strong, long-term relationships with traditional and specialty insurance agencies, developing alternative distribution channels, and offering direct-to-consumer workers’ compensation through our website.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excess workers’ compensation, our approach is to deliver a flexible, data-driven solution that goes beyond traditional excess coverage by incorporating value-added services. We believe these services, resulting in improved organizational performance and reduced long-term loss costs for our policyholders, will serve as a key competitive advantage in the self-insured market, differentiating us from carriers that offer coverage alone.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have a cost-effective and scalable information technology infrastructure that complements our geographic reach and business model. We continue to invest in technology to automate business processes and further develop our data analytics and artificial intelligence capabilities, which we believe will enable us to reduce our operating costs over the long-term and support our future needs. We believe our technology is a strategic advantage that saves our distribution partners and policyholders considerable time and maintains our competitiveness in our target markets.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continue to execute ongoing business initiatives focused on achieving process excellence and efficiency, as well as delivering self-service options to policyholders, agents, and injured workers. We are also actively pursuing strategies to diversify our risk exposure across geographies and economic sectors, expand our risk appetite, and broaden our product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Summary Financial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net income was $29.1 million and $39.2 million for the three and six months ended June 30, 2026, compared to $29.7 million and $42.5 million for the corresponding periods of 2025. The key factors that affected our financial performance during the three and six months ended June 30, 2026, compared to the same periods of 2025, included: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Gross premiums written decreased 19.6% and 17.1%;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premiums earned decreased 12.2% and 6.9%;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investment income increased 1.1% and decreased 5.9%;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realized and unrealized gains on investments of $18.7 million and $17.0 million compared to $20.9 million and $8.1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Losses and LAE decreased 12.7% and 3.6%;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Commission expense decreased 14.9% and 6.5%;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Underwriting expenses decreased 7.9% and 6.3%;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Underwriting loss of $10.1 million and $23.0 million compared to $11.0 million and $14.6 million.</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Three and Six Months Ended June 30,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2026 underwriting results reflect lower net premiums earned, partially offset by reductions in losses and LAE, commission expenses, and underwriting expenses. Our investment results were primarily impacted by favorable net realized and unrealized gains on investments as net investment income was slightly higher for the quarter, but lower in the first half of 2026, as compared to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Three and Six Months Ended June 30,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2025 underwriting results reflect moderate increases in net premiums earned offset by higher losses and LAE. Commission expense and underwriting expenses were higher in the second quarter, but lower in the first half of 2025 compared to the same periods of 2024. Our 2025 investment results benefited from strong net investment income and favorable net realized and unrealized gains.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results of operations for the three and six months ended June 30, 2026 and 2025 are as follows:</w:t>
      </w:r>
    </w:p>
    <w:tbl>
      <w:tblPr>
        <w:tblW w:w="9191" w:type="dxa"/>
        <w:jc w:val="left"/>
        <w:tblInd w:w="0" w:type="dxa"/>
        <w:tblLayout w:type="fixed"/>
        <w:tblCellMar>
          <w:top w:w="28" w:type="dxa"/>
          <w:left w:w="28" w:type="dxa"/>
          <w:bottom w:w="28" w:type="dxa"/>
          <w:right w:w="28" w:type="dxa"/>
        </w:tblCellMar>
      </w:tblPr>
      <w:tblGrid>
        <w:gridCol w:w="1484"/>
        <w:gridCol w:w="1300"/>
        <w:gridCol w:w="131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Underwriting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Non-underwriting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120" w:after="120"/>
        <w:ind w:left="0" w:right="0" w:hanging="360"/>
        <w:jc w:val="both"/>
        <w:rPr>
          <w:rFonts w:ascii="Times New Roman;serif" w:hAnsi="Times New Roman;serif"/>
          <w:b/>
          <w:color w:val="000000"/>
          <w:sz w:val="20"/>
        </w:rPr>
      </w:pPr>
      <w:r>
        <w:rPr>
          <w:rFonts w:ascii="Times New Roman;serif" w:hAnsi="Times New Roman;serif"/>
          <w:b/>
          <w:color w:val="000000"/>
          <w:sz w:val="20"/>
        </w:rPr>
        <w:t>I.Review of Underwriting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Underwriting income or loss is determined by deducting losses and LAE, commission expense, and underwriting expenses from net premiums earned. Our underwriting results for the three and six months ended June 30, 2026 and 2025 are as follows:</w:t>
      </w:r>
    </w:p>
    <w:tbl>
      <w:tblPr>
        <w:tblW w:w="8730" w:type="dxa"/>
        <w:jc w:val="left"/>
        <w:tblInd w:w="0" w:type="dxa"/>
        <w:tblLayout w:type="fixed"/>
        <w:tblCellMar>
          <w:top w:w="28" w:type="dxa"/>
          <w:left w:w="28" w:type="dxa"/>
          <w:bottom w:w="28" w:type="dxa"/>
          <w:right w:w="28" w:type="dxa"/>
        </w:tblCellMar>
      </w:tblPr>
      <w:tblGrid>
        <w:gridCol w:w="1083"/>
        <w:gridCol w:w="947"/>
        <w:gridCol w:w="955"/>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08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underwriting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impact of the LPT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loss excluding LPT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impact of the LPT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ratio excluding LPT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2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LPT Agreement is a non-recurring transaction that no longer provides us with any ongoing cash benefits. We provide our underwriting income and combined ratios excluding the effects of the LPT because we believe that these measures are useful in providing investors, analysts, and other interested parties a meaningful understanding of our ongoing underwriting performance and provides them with a consistent basis for comparison with other companies in our industry. In addition, we believe that these non-GAAP measures, as presented, are helpful to our management in identifying trends in our performance because the LPT has limited significance to our current and ongoing operations.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Gross Premiums Written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Gross premiums written were $163.4 million and $344.2 million for the three and six months ended June 30, 2026, respectively, compared to $203.3 million and $415.4 million for the corresponding periods of 2025, respectively. For the three and six months ended June 30, 2026, decreases in gross premiums written were largely driven by declines in both new and renewal business premiums, primarily reflecting our pricing and underwriting actions, which commenced in 2025 and continue in 2026, taken to return to historical underwriting margins. These decreases were partially offset by increases in our ending final audit premium accruals and a premium restitution of $2.5 million from a former policyholder reflected in both periods. Additionally, during the second quarter of 2026, we bound our first excess workers' compensation policy. Total in-force policies at June 30, 2026 were 127,601 compared to 134,421 in-force policies at June 30, 2025.</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Net Premiums Written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premiums written are gross premiums written less reinsurance premiums ceded. For each of the periods presented, the reinsurance premiums ceded related to our annual reinsurance program as further described herein.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premiums written were $162.0 million and $341.4 million for the three and six months ended June 30, 2026, respectively, compared to $201.5 million and $411.8 million for the corresponding periods of 2025, respectively. Reinsurance premiums ceded were $1.4 million and $2.8 million for the three and six months ended June 30, 2026, respectively, compared to $1.8 million and $3.6 million for the corresponding period of 2025, respectively.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Net Premiums Earned</w:t>
      </w:r>
    </w:p>
    <w:p>
      <w:pPr>
        <w:pStyle w:val="TextBody"/>
        <w:bidi w:val="0"/>
        <w:spacing w:lineRule="auto" w:line="288" w:before="40" w:after="120"/>
        <w:jc w:val="both"/>
        <w:rPr>
          <w:rFonts w:ascii="Times New Roman;serif" w:hAnsi="Times New Roman;serif"/>
          <w:b w:val="false"/>
          <w:color w:val="000000"/>
          <w:sz w:val="20"/>
        </w:rPr>
      </w:pPr>
      <w:r>
        <w:rPr>
          <w:rFonts w:ascii="Times New Roman;serif" w:hAnsi="Times New Roman;serif"/>
          <w:b w:val="false"/>
          <w:color w:val="000000"/>
          <w:sz w:val="20"/>
        </w:rPr>
        <w:t>Net premiums earned are primarily a function of the amount and timing of net premiums previously written.</w:t>
      </w:r>
    </w:p>
    <w:p>
      <w:pPr>
        <w:pStyle w:val="TextBody"/>
        <w:bidi w:val="0"/>
        <w:spacing w:lineRule="auto" w:line="288" w:before="40" w:after="120"/>
        <w:jc w:val="both"/>
        <w:rPr>
          <w:rFonts w:ascii="Times New Roman;serif" w:hAnsi="Times New Roman;serif"/>
          <w:b w:val="false"/>
          <w:color w:val="000000"/>
          <w:sz w:val="20"/>
        </w:rPr>
      </w:pPr>
      <w:r>
        <w:rPr>
          <w:rFonts w:ascii="Times New Roman;serif" w:hAnsi="Times New Roman;serif"/>
          <w:b w:val="false"/>
          <w:color w:val="000000"/>
          <w:sz w:val="20"/>
        </w:rPr>
        <w:t>Net premiums earned were $174.1 million and $355.0 million for the three and six months ended June 30, 2026, respectively, compared to $198.3 million and $381.3 million for the corresponding periods of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60" w:after="120"/>
        <w:jc w:val="both"/>
        <w:rPr/>
      </w:pPr>
      <w:r>
        <w:rPr/>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Losses and LAE, Commission Expenses, and Underwriting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calendar year combined ratios.</w:t>
      </w:r>
    </w:p>
    <w:tbl>
      <w:tblPr>
        <w:tblW w:w="8111" w:type="dxa"/>
        <w:jc w:val="center"/>
        <w:tblInd w:w="0" w:type="dxa"/>
        <w:tblLayout w:type="fixed"/>
        <w:tblCellMar>
          <w:top w:w="28" w:type="dxa"/>
          <w:left w:w="28" w:type="dxa"/>
          <w:bottom w:w="28" w:type="dxa"/>
          <w:right w:w="28" w:type="dxa"/>
        </w:tblCellMar>
      </w:tblPr>
      <w:tblGrid>
        <w:gridCol w:w="1063"/>
        <w:gridCol w:w="935"/>
        <w:gridCol w:w="941"/>
        <w:gridCol w:w="352"/>
        <w:gridCol w:w="264"/>
        <w:gridCol w:w="389"/>
        <w:gridCol w:w="156"/>
        <w:gridCol w:w="156"/>
        <w:gridCol w:w="156"/>
        <w:gridCol w:w="352"/>
        <w:gridCol w:w="264"/>
        <w:gridCol w:w="389"/>
        <w:gridCol w:w="109"/>
        <w:gridCol w:w="109"/>
        <w:gridCol w:w="109"/>
        <w:gridCol w:w="325"/>
        <w:gridCol w:w="291"/>
        <w:gridCol w:w="337"/>
        <w:gridCol w:w="135"/>
        <w:gridCol w:w="135"/>
        <w:gridCol w:w="135"/>
        <w:gridCol w:w="325"/>
        <w:gridCol w:w="291"/>
        <w:gridCol w:w="393"/>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 ratio excluding LPT</w:t>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3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3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 ratio - LPT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 excluding LPT</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Losses and LAE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Losses and LAE represents our largest expense item and includes claim payments made, amortization of the Deferred Gain, estimates for future claim payments and changes in those estimates for current and prior accident years, and costs associated with investigating, defending, and adjusting claims. The accuracy of our financial reporting depends in large part on determining our losses and LAE reserves, which are inherently uncertain as they are estimates of the ultimate cost of individual claims based on actuarial estimation techniques. We believe that our loss estimates are adequate; however, ultimate losses will not be known with any certainty for many years.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analyze our loss and LAE ratios on both a calendar year and accident year basis.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calendar year loss and LAE ratio is calculated by dividing the losses and LAE recorded during the calendar year, regardless of when the underlying insured event occurred, by the net premiums earned during that calendar year. The calendar year loss and LAE ratio reflects changes made during the calendar year in reserves for losses and LAE established for insured events occurring in the current and prior years. The calendar year loss and LAE ratio for a particular year will not change in future periods.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accident year loss and LAE ratio is calculated by dividing cumulative losses and LAE that occurred during a particular year by the net premiums earned for that year. The accident year loss and LAE ratio for a particular year can decrease or increase when recalculated in subsequent periods as the reserves established for insured events occurring during that year fluctuate. Our current accident year loss and LAE ratios continue to reflect the impact of key business initiatives, including: an emphasis on accelerated settlements of open claims; further diversifying risk exposure across geographic markets, when appropriate; and leveraging data-driven strategies to target, underwrite, and price profitable classes of business across all of our markets.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calendar year loss and LAE ratio is analyzed to measure profitability in a particular year and to evaluate the adequacy of premium rates charged in a particular year to cover expected losses and LAE from all periods, including development (whether favorable or adverse) of reserves established in prior periods. In contrast, our accident year loss and LAE ratios are analyzed to evaluate underwriting performance and the adequacy of the premium rates charged in a particular year in relation to ultimate losses and LAE from insured events occurring during that year. The loss and LAE ratios provided in this report are on a calendar year basis, except where they are expressly identified as accident year loss and LAE ratios.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 below reflects current and prior accident year loss and LAE reserve adjustments, the impact of the LPT, and the resulting impact to our loss ratio.</w:t>
      </w:r>
    </w:p>
    <w:tbl>
      <w:tblPr>
        <w:tblW w:w="10205" w:type="dxa"/>
        <w:jc w:val="left"/>
        <w:tblInd w:w="0" w:type="dxa"/>
        <w:tblLayout w:type="fixed"/>
        <w:tblCellMar>
          <w:top w:w="28" w:type="dxa"/>
          <w:left w:w="28" w:type="dxa"/>
          <w:bottom w:w="28" w:type="dxa"/>
          <w:right w:w="28" w:type="dxa"/>
        </w:tblCellMar>
      </w:tblPr>
      <w:tblGrid>
        <w:gridCol w:w="1758"/>
        <w:gridCol w:w="1510"/>
        <w:gridCol w:w="1518"/>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rPr/>
        <w:tc>
          <w:tcPr>
            <w:tcW w:w="175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accident year losses and LAE - excluding LPT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accident year (favorable) adverse loss reserve development,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LPT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Calendar year losses and LAE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accident year loss and LAE ratio - excluding LPT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Calendar year loss and LAE ratio - excluding LPT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Calendar year loss and LAE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our calendar year losses and LAE during the three months ended June 30, 2026, as compared to the same period of 2025, was primarily due to lower earned premiums as our current accident year loss and LAE estimate remains consistent. The decrease in our calendar year losses and LAE during the six months ended June 30, 2026, as compared to the same period of 2025, was primarily due to lower earned premiums, partially offset by a higher current accident year loss and LAE estimate due to increased cumulative trauma (CT) claim frequency in California.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accident year net favorable loss reserve development on our assigned risk business totaled $0.3 million during the three months ended June 30, 2026. Prior accident year net adverse loss reserve development on our assigned risk business totaled $0.3 million during the three months ended June 30,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Prior accident year net favorable loss reserve development totaled $0.4 million on our assigned risk business during the six months ended June 30, 2026. Prior accident year adverse loss reserve development totaled $1.6 million during the six months ended June 30, 2025, which included $0.7 million net adverse loss reserve development on our voluntary risk business and $0.9 million net adverse loss reserve development on our assigned risk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current accident year loss and LAE ratio excluding LPT related to our voluntary business was 72.0% for both the three and six months ended June 30, 2026 and consistent with the same ratio recorded for accident year 2025. The $2.5 million premium restitution referenced above reduced the current accident year loss and LAE ratios excluding LPT listed above by approximately 1.0 percentage point and 0.5 percentage point for the three and six months ended June 30, 2026, respectively.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impact of the LPT on Losses and LAE, which are recorded as a reduction to Losses and LAE incurred on our Consolidated Statements of Comprehensive Income (Loss).</w:t>
      </w:r>
    </w:p>
    <w:tbl>
      <w:tblPr>
        <w:tblW w:w="7530" w:type="dxa"/>
        <w:jc w:val="center"/>
        <w:tblInd w:w="0" w:type="dxa"/>
        <w:tblLayout w:type="fixed"/>
        <w:tblCellMar>
          <w:top w:w="28" w:type="dxa"/>
          <w:left w:w="28" w:type="dxa"/>
          <w:bottom w:w="28" w:type="dxa"/>
          <w:right w:w="28" w:type="dxa"/>
        </w:tblCellMar>
      </w:tblPr>
      <w:tblGrid>
        <w:gridCol w:w="1271"/>
        <w:gridCol w:w="1116"/>
        <w:gridCol w:w="1122"/>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the Deferred Gain - losses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impact of the LPT</w:t>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Commission Expense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Commission expense includes direct commissions to our agents and brokers, including our partnerships and alliances, for the premiums that they produce for us, as well as agency incentive payments, other marketing costs, and fees.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commission expense ratio was 12.8% and 12.9% for the three and six months ended June 30, 2026, respectively, compared to 13.2% and 12.9% for the corresponding periods of 2025, respectively, and our commission expense was $22.2 million and $45.9 million for the three and six months ended June 30, 2026, respectively, compared to $26.1 million and $49.1 million for the corresponding periods of 2025, respectively.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our commission expense ratio and our commission expense for the three months ended June 30, 2026 was primarily driven by lower agency incentive accruals, which are specific to individual contracts and vary with agency targets, and lower new business premiums written. Our commission expense ratio was flat and the decrease in our commission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605" cy="14605"/>
                <wp:effectExtent l="0" t="0" r="0" b="0"/>
                <wp:wrapNone/>
                <wp:docPr id="34" name="Frame3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was primarily driven by lower agency incentive accruals, which are specific to individual contracts and vary with agency targets, lower premiums written, and release of commissions payable associated with non-performing policies sent to collections.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Underwriting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Underwriting expenses represent those costs required to run the business, including costs incurred to underwrite and maintain the insurance policies we issue, excluding commissions. Variable underwriting expenses, such as premium taxes, policyholder dividends, and other expenses that vary directly with the production of new or renewal business, are recognized as the associated written premiums are earned. Fixed underwriting expenses, such as the operating expenses of EHI and its subsidiaries, do not vary directly with the production of new or renewal business and are recognized as incurred.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underwriting expense ratio was 22.8% and 22.7% for the three and six months ended June 30, 2026, respectively, compared to 21.7% and 22.6% for the corresponding periods of 2025, respectively, and our underwriting expenses were $39.7 million and $80.6 million for the three and six months ended June 30, 2026, respectively, compared to $43.1 million and $86.0 million for the corresponding periods of 2025, respectively. Despite the reduction in our underwriting expenses, our underwriting expense ratio for the three and six months ended June 30, 2026 increased due to lower premiums earned. As highlighted below, we continue our disciplined focus on expense reductions.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underwriting expenses for the three months ended June 30, 2026 was primarily the result of lower policyholder dividends of $1.4 million, net CECL provision on premiums receivable of $1.1 million, compensation-related expenses of $1.0 million, and premium taxes and assessments of $0.7 million. These decreases were partially offset by lower internal AO and other expense allocations of $0.8 million, each compared to the same period of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underwriting expenses for the six months ended June 30, 2026 was primarily the result of lower compensation-related expenses of $3.6 million, policyholder dividends of $3.1 million, and premium taxes and assessments of $1.1 million. These decreases were partially offset by lower internal AO and other expense allocations of $2.9 million, each compared to the same period of 2025. </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II. Review of Non-Underwriting Results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Net Investment Income and Net Realized and Unrealized Gains and Losses on 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invest in fixed maturity securities, equity securities, other invested assets, short-term investments, and cash equivalents. Net investment income includes interest and dividends earned on our invested assets and amortization of premiums and discounts on our fixed maturity securities, less bank service charges and custodial and portfolio management fees.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investment income increased 1.1% and decreased 5.9% during the three and six months ended June 30, 2026, respectively, compared to the same periods of 2025. The increase for the three months ended June 30, 2026 was primarily related to higher yield on fixed maturity securities. The decrease for the six months ended June 30, 2026 was primarily attributable to reduced distributions from our investments in private equity limited partnerships, which were elevated in the prior period, and lower invested balances, partially offset by higher yields on fixed maturity securities resulting from our investment rebalancing activity in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gains and losses on our investments are reported separately from our net investment income. Net realized gains and losses on investments include the gain or loss on a security at the time of sale compared to its original or adjusted cost (equity securities) or amortized cost (fixed maturity securities). Realized losses are also recognized for adverse changes in our CECL allowance or when securities are written down because of an other-than-temporary impairment. Changes in the fair value of equity securities and other invested assets are also included in Net realized and unrealized losses on investments on our Consolidated Statements of Comprehensive Income (Loss).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 were $18.7 million and $17.0 million for the three and six months ended June 30, 2026, respectively, compared to $20.9 million and $8.1 million for the corresponding periods of 2025, respectively. The net realized and unrealized gains on investments for the three months ended June 30, 2026 and 2025 included $19.2 million and $21.0 million of net realized and unrealized gains on equity securities and other investments, respectively, and $0.5 million and $0.1 million of net realized losses on fixed maturity securities, respectively. The net realized and unrealized gains on investments for the six months ended June 30, 2026 and 2025 included $18.0 million and $9.1 million of net realized and unrealized gains on equity securities and other investments, respectively, and $1.0 million of net realized losses on fixed maturity securities in each period.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net investment gains on our equity securities during the three and six months ended June 30, 2026 were largely consistent with the performance of the U.S. equity markets. The net investment gains on our other investments during the three and six months ended June 30, 2026 resulted from an increase in the underlying value of the private equity limited partnership interests we own. The net realized investment losses on our fixed maturity securities during the three and six months ended June 30, 2026 included a $0.4 million and $0.7 million increase in our allowance for CECL.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net investment gains on our equity securities during the three and six months ended June 30, 2025 were largely consistent with the performance of the U.S. equity markets. The net investment gains on our other investments during the three months ended June 30, 2025 resulted primarily from an increase in the underlying value of the private equity limited partnership interests we own. The net investment losses on our other investments during the six months ended June 30, 2025 was primarily driven by the reduction in net asset value due to distributed investment returns from our investments in private equity limited partnerships. The net realized investment losses on our fixed maturity securities during the three and six months ended June 30, 2025 were primarily the result of sales associated with the rebalancing of our fixed maturity investment portfolio.</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our Investments is set forth under “—Liquidity and Capital Resources—Investments.”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Other Income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consists of net gains and losses on fixed assets, non-investment interest, and other miscellaneous income and expense items.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Interest and Financing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Interest and financing expenses include fees and interest associated with borrowings under the credit facility and advances and other credit arrangements with the Federal Home Loan Bank of San Francisco (FHLB).</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Interest and financing expenses were $1.3 million and $2.4 million for the three and six months ended June 30, 2026, respectively, compared to less than $0.1 million and $0.1 million for the three and six months ended June 30, 2025. The increase for the three and six months ended June 30, 2026, resulted primarily from interest expense associated with our various advances with the FHLB.</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Income tax expense was $5.6 million and $8.2 million for the three and six months ended June 30, 2026, respectively, compared to $7.3 million and $10.4 million for the corresponding periods of 2025, respectively. The effective tax rate was 16.1% and 17.3% for the three and six months ended June 30, 2026, compared to 19.7% for each of the corresponding periods of 2025, respectively. The effective rates during each of the periods presented deviate favorably from the statutory rate of 21.0% due to, in part, income tax benefits and exclusions associated with tax-advantaged investment income, LPT adjustments, Deferred Gain amortization and related adjustments, income adjustments related to the Fund, and tax credits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total capital position remains strong and that the liquidity available to EHI and its subsidiaries remains adequate and will be sufficient for our financing needs in the next 12 months and in the longer-term period thereafter. As a result, we do not currently foresee a need to: (i) suspend dividends at either EHI or its insurance subsidiaries; (ii) forego repurchases of EHI's common stock; (iii) seek additional required capital; or (iv) seek any material non-investment asset sales, though we may decide to pursue those or other options if our financial circumstances change or if we deem it strategically advantageous to do so.</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EHI Liquidity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EHI is a holding company and its ability to fund its operations is contingent upon its existing capital, the ability of its subsidiaries to pay it dividends, and the availability of loan capacity through its intercompany loan agreements with its insurance subsidiaries and credit facility. Any payments of dividends by our insurance subsidiaries are restricted by state insurance laws and regulations, including laws establishing minimum solvency and liquidity thresholds. EHI requires cash to pay dividends to its stockholders, repurchase its common stock, provide additional surplus to its insurance subsidiaries, and fund its operating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EHI's insurance subsidiaries’ ability to pay dividends and distributions is based on their reported capital, surplus, and dividends paid within the prior twelve months.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EICN made a $10.8 million dividend payment to EGI, which in turn distributed that amount to EHI. As a result of that dividend payment, EICN cannot pay dividends for the remainder of 2026 without prior regulatory approval.</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ECIC made a $20.4 million dividend payment to EGI, which in turn distributed that amount to EHI. As a result of that dividend payment, ECIC cannot pay dividends for the remainder of 2026 without prior regulatory approval.</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at the holding company were $34.2 million at June 30, 2026, consisting of $30.5 million of cash and cash equivalents, $3.2 million of fixed maturity securities, and $0.5 million of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EHI entered into two three-year intercompany loan agreements with its insurance subsidiaries: one with EICN (the "EICN Agreement") and one jointly with EAC, ECIC, EPIC, and CIC (the "Omnibus Agreement"). Together, the agreements provide approximately $200.0 million of lending capacity, with individual advances bearing interest at the prevailing rate published by the FHLB for advances of comparable duration. As of June 30, 2026, $160.0 million is outstanding under these intercompany loan agreements, which were primarily utilized to fund our recapitalization plan.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EHI entered into a Credit Agreement (as amended, the Credit Agreement) which provides for a $25.0 million, unsecured, three-year revolving credit facility and is guaranteed by EGI and CGI. On July 29, 2026, EHI and Wells Fargo Bank, National Association, entered into Amendment No. 1 to the Credit Agreement. The Credit Agreement provides for a $35.0 million, unsecured, three-year revolving credit facility and remains guaranteed by EGI and CGI. Borrowings under the Credit Agreement may be used for working capital and general corporate purposes of EHI and its subsidiaries. </w:t>
      </w:r>
    </w:p>
    <w:p>
      <w:pPr>
        <w:pStyle w:val="TextBody"/>
        <w:bidi w:val="0"/>
        <w:spacing w:lineRule="auto" w:line="288" w:before="60" w:after="120"/>
        <w:jc w:val="both"/>
        <w:rPr/>
      </w:pPr>
      <w:r>
        <w:rPr>
          <w:rFonts w:ascii="Times New Roman;serif" w:hAnsi="Times New Roman;serif"/>
          <w:b w:val="false"/>
          <w:color w:val="000000"/>
          <w:sz w:val="20"/>
        </w:rPr>
        <w:t>The interest rates applicable to loans under the Credit Agreement are generally based on, at EHI's option: (i) a base rate, defined as the higher of the Prime Rate, the Federal Funds Rate plus 0.50% and the Adjusted Term SOFR for a one-month tenor plus 1.00%, or (ii) an Adjusted Term SOFR, defined as the applicable Adjusted Term SOFR plus 1.50%. Interest paid and/or fees incurred pursuant to the Credit Agreement, as applicabl</w:t>
      </w:r>
      <w:r>
        <w:rPr>
          <w:rFonts w:ascii="Times New Roman;serif" w:hAnsi="Times New Roman;serif"/>
          <w:b w:val="false"/>
          <w:color w:val="000000"/>
          <w:sz w:val="20"/>
          <w:shd w:fill="FFFFFF" w:val="clear"/>
        </w:rPr>
        <w:t>e, was</w:t>
      </w:r>
      <w:r>
        <w:rPr>
          <w:color w:val="000000"/>
        </w:rPr>
        <w:t xml:space="preserve"> </w:t>
      </w:r>
      <w:r>
        <w:rPr>
          <w:rFonts w:ascii="Times New Roman;serif" w:hAnsi="Times New Roman;serif"/>
          <w:b w:val="false"/>
          <w:color w:val="000000"/>
          <w:sz w:val="20"/>
        </w:rPr>
        <w:t>$0.3 million and less than $0.1 million for the three months ended June 30, 2026 and 2025, respectively, and $0.4 million and $0.1 million for the six months ended June 30, 2026 and 2025, respectively.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covenants that require EHI and its consolidated subsidiaries to maintain: (i) a minimum consolidated net worth, defined as EHI’s total stockholders’ equity excluding any accumulated other comprehensive income or loss, of no less than $800.0 million; and (ii) a debt to total capitalization ratio of no more than 35%, in each case as determined in accordance with the Credit Agreement. As of June 30, 2026, EHI has remained in compliance with all of the covenants associated with the Credit Agreement since its inception.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17, 2026, EHI borrowed $20.0 million under the Credit Agreement as part of our recapitalization plan. The advance bears interest at a rate of 5.15% based on the three-month Adjusted Term SOFR, with a reset date of August 18, 2026. As of June 30, 2026, $20.0 million was outstanding under the Credit Agreement. The outstanding balance is classified as long-term debt as the amended Credit Agreement expires on July 29, 2029. Advances can be repaid at any time without prepayment penalties or additional fees. </w:t>
      </w:r>
    </w:p>
    <w:p>
      <w:pPr>
        <w:pStyle w:val="TextBody"/>
        <w:bidi w:val="0"/>
        <w:spacing w:lineRule="auto" w:line="276" w:before="60" w:after="120"/>
        <w:jc w:val="both"/>
        <w:rPr>
          <w:rFonts w:ascii="Times New Roman;serif" w:hAnsi="Times New Roman;serif"/>
          <w:b/>
          <w:i/>
          <w:color w:val="000000"/>
          <w:sz w:val="20"/>
        </w:rPr>
      </w:pPr>
      <w:r>
        <w:rPr>
          <w:rFonts w:ascii="Times New Roman;serif" w:hAnsi="Times New Roman;serif"/>
          <w:b/>
          <w:i/>
          <w:color w:val="000000"/>
          <w:sz w:val="20"/>
        </w:rPr>
        <w:t>Operating Subsidiaries’ Liquidity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primary sources of cash for our operating subsidiaries, which include our insurance and other operating subsidiaries, are premium collections, investment income, sales and maturities of investments, and reinsurance recoveries. The primary uses of cash for our operating subsidiaries are payments of losses and LAE, commission expense, underwriting expenses, ceded reinsurance, investment purchases, and dividends paid to their parent.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held by our operating subsidiaries was $2,415.2 million at June 30, 2026, consisting of $83.0 million of cash and cash equivalents, and restricted cash, $2,034.7 million of fixed maturity securities, $179.7 million of equity securities, $96.1 million of other invested assets, and $21.7 million of short-term investments. Sources of immediate and unencumbered liquidity at our operating subsidiaries as of June 30, 2026 consisted of $82.8 million of cash and cash equivalents, $170.9 million of publicly traded equity securities whose proceeds are available within two business days, and $787.2 million of highly liquid fixed maturity securities whose proceeds are also available within two business days. We believe that our subsidiaries’ liquidity needs over the next 12 months and for the longer-term period thereafter will be met with cash from operations, investment income, and maturing 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Each of our insurance subsidiaries are members of the FHLB. Membership allows our subsidiaries access to collateralized advances, which may be used to support and enhance liquidity management. The amount of advances that may be taken is dependent on our statutory admitted assets on a per company basis. The following table summarizes the terms and maturities of the advances outstanding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60" w:after="120"/>
        <w:jc w:val="both"/>
        <w:rPr/>
      </w:pPr>
      <w:r>
        <w:rPr/>
      </w:r>
    </w:p>
    <w:tbl>
      <w:tblPr>
        <w:tblW w:w="6320" w:type="dxa"/>
        <w:jc w:val="left"/>
        <w:tblInd w:w="0" w:type="dxa"/>
        <w:tblLayout w:type="fixed"/>
        <w:tblCellMar>
          <w:top w:w="28" w:type="dxa"/>
          <w:left w:w="28" w:type="dxa"/>
          <w:bottom w:w="28" w:type="dxa"/>
          <w:right w:w="28" w:type="dxa"/>
        </w:tblCellMar>
      </w:tblPr>
      <w:tblGrid>
        <w:gridCol w:w="625"/>
        <w:gridCol w:w="548"/>
        <w:gridCol w:w="552"/>
        <w:gridCol w:w="315"/>
        <w:gridCol w:w="315"/>
        <w:gridCol w:w="316"/>
        <w:gridCol w:w="211"/>
        <w:gridCol w:w="616"/>
        <w:gridCol w:w="109"/>
        <w:gridCol w:w="263"/>
        <w:gridCol w:w="263"/>
        <w:gridCol w:w="658"/>
        <w:gridCol w:w="447"/>
        <w:gridCol w:w="447"/>
        <w:gridCol w:w="635"/>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Advance</w:t>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Borrower</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Amount </w:t>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632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EICN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February 5, 2026</w:t>
            </w:r>
            <w:r>
              <w:rPr>
                <w:rFonts w:ascii="Times New Roman;serif" w:hAnsi="Times New Roman;serif"/>
                <w:b w:val="false"/>
                <w:color w:val="000000"/>
                <w:sz w:val="13"/>
              </w:rPr>
              <w:t>(1)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EICN</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2026</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ECIC</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8, 2026</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EAC</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16, 2026</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EPIC</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2029</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CIC</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5, 2029</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On February 5, 2026, the terms of this advance were revised from an interest rate of 3.70% and a maturity date of December 21, 2026, to an interest rate of 3.79% and a maturity date of May 31, 2029.</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These advances were assumed by EHI through the intercompany loan agreements as described above and executed as part of the Company’s recapitalization plan. Interest incurred and paid on these borrowings during the three and six months ended June 30, 2026 was $1.0 million and $1.9 million, respectively.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FHLB membership also allows our insurance subsidiaries access to standby Letter of Credit Agreements. Letter of Credit Agreements we currently have in effect will expire March 31, 2027 and must be fully secured with eligible collateral at all times (See Note 10).</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Various state laws and regulations require us to hold investment securities or letters of credit on deposit with certain states in which we do business. Securities having a fair value of $585.3 million and $587.4 million were on deposit at June 30, 2026 and December 31, 2025, respectively. These laws and regulations govern both the amount and types of investment securities that are eligible for deposit. Additionally, standby letters of credit from the FHLB have been issued in lieu of $170.0 million of securities on deposit at both June 30, 2026 and December 31,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purchase reinsurance annually to protect us against the costs of severe claims and certain catastrophic events. On July 1, 2026, we entered into a new reinsurance program that is effective through June 30, 2027. The reinsurance program consists of one treaty covering excess of loss and catastrophic loss events in four layers of coverage. Our reinsurance coverage is $190.0 million in excess of our $10.0 million retention on a per occurrence basis; including a maximum any one life limit of $20.0 million, subject to certain exclusions. Our previous reinsurance program consisted of one treaty covering excess of loss and catastrophic loss events in four layers of coverage, which included a 10% co-participation share within each layer of coverage retained by us. The reinsurance coverage was $190.0 million ($171.0 million net of our co-participation) in excess of our $10.0 million retention on a per occurrence basis, including a maximum any one life limit of $20.0 million, subject to certain exclusions. We believe that our reinsurance program currently meets our needs.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reinsurance contracts require funds owned by us to be held in trust for the benefit of the ceding reinsurer to secure the outstanding liabilities we have assumed. The fair value of fixed maturity securities held in trust for the benefit of our ceding reinsurers was $3.0 million and $3.1 million at June 30, 2026 and December 31, 2025, respectively.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the cash flows of each of our subsidiaries individually, as well as collectively as a consolidated group. We use trend and variance analyses to project future cash needs, making adjustments to our cash forecasts as appropriate.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our net cash flows:</w:t>
      </w:r>
    </w:p>
    <w:tbl>
      <w:tblPr>
        <w:tblW w:w="8000" w:type="dxa"/>
        <w:jc w:val="left"/>
        <w:tblInd w:w="0" w:type="dxa"/>
        <w:tblLayout w:type="fixed"/>
        <w:tblCellMar>
          <w:top w:w="28" w:type="dxa"/>
          <w:left w:w="28" w:type="dxa"/>
          <w:bottom w:w="28" w:type="dxa"/>
          <w:right w:w="28" w:type="dxa"/>
        </w:tblCellMar>
      </w:tblPr>
      <w:tblGrid>
        <w:gridCol w:w="2016"/>
        <w:gridCol w:w="1769"/>
        <w:gridCol w:w="1779"/>
        <w:gridCol w:w="109"/>
        <w:gridCol w:w="109"/>
        <w:gridCol w:w="109"/>
        <w:gridCol w:w="211"/>
        <w:gridCol w:w="586"/>
        <w:gridCol w:w="109"/>
        <w:gridCol w:w="109"/>
        <w:gridCol w:w="109"/>
        <w:gridCol w:w="109"/>
        <w:gridCol w:w="211"/>
        <w:gridCol w:w="51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(used in) provided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(Decrease) increase in cash, cash equivalents, and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cash flows, see Item 1, Consolidated Statements of Cash Flows.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included net claims payments of $279.9 million, underwriting expenses paid of $75.5 million, commissions paid of $48.4 million, interest paid of $2.4 million and federal income taxes paid of $1.4 million. The cash outflows used in these activities were partially offset by net premiums received of $345.9 million and investment income received of $53.6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2025 included net premiums received of $385.4 million and investment income received of $58.1 million. The cash provided by these operating activities were partially offset by net claims payments of $274.9 million, underwriting expenses paid of $92.1 million, commissions paid of $50.2 million, and federal income taxes paid of $11.6 million.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related primarily to investments of premiums received and the reinvestment of funds from investment sales, maturities, redemptions, and interest income. The cash outflows used in these activities were partially offset by investment sales, maturities, and redemptions whose proceeds were used to fund claims payments, underwriting expenses, stockholder dividend payments, and common stock repurchases.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2025 related primarily to returns from our investments, investment sales, maturities, and redemptions whose proceeds were used to fund claims payments, underwriting expenses, stockholder dividend payments, and common stock repurchases. Those investing cash inflows were partially offset by investments of premiums received and the reinvestment of funds from investment sales, maturities, redemptions, and interest income.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2026 related primarily to stockholder dividend payments and common stock repurchases offset by FHLB advances and borrowings on the 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related primarily to stockholder dividend payments and common stock repurchases.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paid $12.6 million and $15.4 million in dividends to our stockholders and eligible equity plan award holders for the six months ended June 30, 2026 and 2025, respectively. The declaration and payment of future dividends to our stockholders, including any special dividends, will be at the discretion of our Board of Directors (Board) and will depend upon many factors including our financial position, capital requirements of our operating subsidiaries, legal and regulatory requirements, and any other factors that our Board deems relevant. On July 29, 2026, the Board declared a quarterly dividend per share of $0.34, which is payable August 26, 2026 to stockholders of record on August 12, 2026.</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Stock Repurchases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repurchased 651,752 shares of our common stock for $27.7 million during the three months ended June 30, 2026 and we repurchased 2,464,081 shares of our common stock for $104.5 million during the six months ended June 30, 2026. We have $113.0 million repurchase authorization remaining under the 2026 Program. Future repurchases of our common stock will be at the discretion of our Board and will depend upon many factors, including our financial position, capital requirements of our operating subsidiaries, general business and socioeconomic conditions, legal, tax, regulatory, and/or contractual restrictions, and any other factors that our Board deems relevant.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capital resources available to us consisted of $858.8 million of stockholders’ equity and the $85.3 million Deferred Gain.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Other than operating expenses, our current and long-term cash requirements include the following contractual obligations and commitments as of June 30, 2026:</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60" w:after="120"/>
        <w:jc w:val="both"/>
        <w:rPr/>
      </w:pPr>
      <w:r>
        <w:rPr>
          <w:rFonts w:ascii="Times New Roman;serif" w:hAnsi="Times New Roman;serif"/>
          <w:b w:val="false"/>
          <w:color w:val="000000"/>
          <w:sz w:val="20"/>
        </w:rPr>
        <w:t>We obtained advances from the FHLB totaling</w:t>
      </w:r>
      <w:r>
        <w:rPr>
          <w:color w:val="000000"/>
        </w:rPr>
        <w:t xml:space="preserve"> </w:t>
      </w:r>
      <w:r>
        <w:rPr>
          <w:rFonts w:ascii="Times New Roman;serif" w:hAnsi="Times New Roman;serif"/>
          <w:b w:val="false"/>
          <w:color w:val="000000"/>
          <w:sz w:val="20"/>
        </w:rPr>
        <w:t>$105.0 million, bearing interest rates ranging from 3.74% to 3.87%, of which none are payable within 12 months. Additionally, we had $20.0 million outstanding under our Credit Agreement, of which none is payable within 12 months based on the amended Credit Agreement's expiration date of July 29, 2029.</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entered into lease arrangements for certain equipment and facilities. As of June 30, 2026, we had lease payment obligations totaling $4.1 million, of which $0.8 million is payable within 12 months.</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Other Purchase Obligations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other purchase obligations that primarily consist of non-cancellable obligations to acquire capital assets, commitments for information technology and related services, software acquisition and license commitments, and other legally binding agreements to purchase services that are to be used in our operations. As of June 30, 2026, we had other purchase obligations totaling $6.2 million, of which $3.8 million is payable within 12 months.</w:t>
      </w:r>
    </w:p>
    <w:p>
      <w:pPr>
        <w:pStyle w:val="TextBody"/>
        <w:bidi w:val="0"/>
        <w:spacing w:lineRule="auto" w:line="256" w:before="60" w:after="120"/>
        <w:jc w:val="both"/>
        <w:rPr>
          <w:rFonts w:ascii="Times New Roman;serif" w:hAnsi="Times New Roman;serif"/>
          <w:b w:val="false"/>
          <w:i/>
          <w:color w:val="000000"/>
          <w:sz w:val="20"/>
        </w:rPr>
      </w:pPr>
      <w:r>
        <w:rPr>
          <w:rFonts w:ascii="Times New Roman;serif" w:hAnsi="Times New Roman;serif"/>
          <w:b w:val="false"/>
          <w:i/>
          <w:color w:val="000000"/>
          <w:sz w:val="20"/>
        </w:rPr>
        <w:t>Unfunded Investment Commitments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private equity limited partnerships with unfunded investment commitments totaling $9.7 million that can be called at any time.</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Unpaid Losses and LAE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developed unpaid losses and LAE expense payment patterns that are computed based on historical information. Our calculation of loss and LAE expense payments by period is subject to the same uncertainties associated with determining the level of reserves and to the additional uncertainties arising from the difficulty of predicting when claims (including claims that have not yet been reported to us) will be paid. Actual payments of losses and LAE by period will vary, perhaps materially, to the extent that current estimates of losses and LAE expense vary from actual ultimate claims amounts due to variations between expected and actual payment patterns. As of June 30, 2026, we had unpaid losses and LAE reserves totaling $1,775.2 million, of which $327.0 million is estimated to be payable within 12 months.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unpaid losses and LAE expense payment patterns are gross of reinsurance recoverables for unpaid losses. As of June 30, 2026, we had reinsurance recoverables on unpaid losses and LAE totaling $380.1 million, of which $27.1 million is currently expected to be received within 12 months.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structured to support our need for: (i) optimizing our risk-adjusted total returns; (ii) providing adequate liquidity; (iii) facilitating financial strength and stability; and (iv) ensuring regulatory and legal compliance. These investments provide a steady source of income.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our investment portfolio consisted of 89% fixed maturity securities with a duration of 4.5, which is measured by their sensitivity to changes in interest rates. Our investment strategy balances consideration of duration, yield, and credit risk. Our investment guidelines require that the minimum weighted average quality of our fixed maturity securities portfolio be “A,” using ratings assigned by Standard &amp; Poor’s (S&amp;P) or an equivalent rating assigned by another nationally recognized statistical rating agency. Our fixed maturity portfolio had a weighted average quality of “A+” as of June 30,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portfolio also contains equity securities. We strive to limit the exposure to equity price risk associated with publicly traded equity securities by diversifying our holdings across several industry sectors. These equity securities had a fair value of $171.5 million at June 30, 2026, which represented 7% of our investment portfolio at that time. We also have an $8.7 million investment in FHLB stock which we record at cost. We receive periodic dividends from the FHLB for this investment, when declared, which can vary from period to period.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portfolio also contains certain other investments, which made up 4% of our investment portfolio at June 30, 2026, and include private equity limited partnerships. Our investments in private equity limited partnerships totaled $96.1 million at June 30, 2026 and are generally not redeemable by the investees and cannot be sold without prior approval of the general partner. These investments have a fund term of 3 to 12 years, subject to two or three one-year extensions at the general partner’s discretion. We periodically receive distributions of proceeds from dividends and interest from fund investments, as well as from any dispositions of fund investments, during the full course of the fund term. As of June 30, 2026, we had unfunded commitments to these private equity limited partnerships totaling $9.7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current asset allocation meets our strategy to preserve capital for claims and policy liabilities and to provide sufficient capital resources to support and grow our ongoing insurance operations.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estimated fair value, the percentage of the fair value to total invested assets, and the average ending book yield (which is calculated based on the amortized cost of the associated invested assets) as of June 30, 2026.</w:t>
      </w:r>
    </w:p>
    <w:tbl>
      <w:tblPr>
        <w:tblW w:w="9027" w:type="dxa"/>
        <w:jc w:val="left"/>
        <w:tblInd w:w="0" w:type="dxa"/>
        <w:tblLayout w:type="fixed"/>
        <w:tblCellMar>
          <w:top w:w="28" w:type="dxa"/>
          <w:left w:w="28" w:type="dxa"/>
          <w:bottom w:w="28" w:type="dxa"/>
          <w:right w:w="28" w:type="dxa"/>
        </w:tblCellMar>
      </w:tblPr>
      <w:tblGrid>
        <w:gridCol w:w="1221"/>
        <w:gridCol w:w="1069"/>
        <w:gridCol w:w="1084"/>
        <w:gridCol w:w="109"/>
        <w:gridCol w:w="109"/>
        <w:gridCol w:w="109"/>
        <w:gridCol w:w="268"/>
        <w:gridCol w:w="974"/>
        <w:gridCol w:w="138"/>
        <w:gridCol w:w="109"/>
        <w:gridCol w:w="109"/>
        <w:gridCol w:w="109"/>
        <w:gridCol w:w="441"/>
        <w:gridCol w:w="441"/>
        <w:gridCol w:w="1098"/>
        <w:gridCol w:w="109"/>
        <w:gridCol w:w="109"/>
        <w:gridCol w:w="109"/>
        <w:gridCol w:w="232"/>
        <w:gridCol w:w="232"/>
        <w:gridCol w:w="585"/>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Investments</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Book Yield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book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5653" w:type="dxa"/>
            <w:gridSpan w:val="2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percentage of total estimated fair value of our fixed maturity securities as of June 30, 2026 by credit rating category, using the lower of the ratings assigned by Moody’s Investors Service or S&amp;P.</w:t>
      </w:r>
    </w:p>
    <w:tbl>
      <w:tblPr>
        <w:tblW w:w="4406"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400"/>
        <w:gridCol w:w="400"/>
        <w:gridCol w:w="116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w:t>
              <w:br/>
              <w:t>Estimated Fair Value</w:t>
            </w:r>
          </w:p>
        </w:tc>
      </w:tr>
      <w:tr>
        <w:trPr/>
        <w:tc>
          <w:tcPr>
            <w:tcW w:w="211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6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Investments that we currently own could be subject to default by the issuer. We regularly assess individual securities as part of our ongoing portfolio management, including the identification of credit-related losses. Our assessment includes reviewing the extent of declines in the fair value of investments below amortized cost, historical and projected financial performance and near-term prospects of the issuer, the outlook for industry sectors, credit rating, and macro-economic changes. We also make a determination as to whether it is not more likely than not that we will be required to sell the security before its fair value recovers to above cost, or maturity.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addition to recognizing realized gains and losses upon the disposition of an investment security, we also record provisions and recoveries for changes in CECL allowance on AFS investments as realized gains and losses. As of June 30, 2026, we maintained a CECL allowance of $1.1 million on AFS investments. During the six months ended June 30, 2026, we recognized a net $0.7 million increase to our allowance for CECL on AFS investments. The remaining fixed maturity securities whose total fair value was less than amortized cost at June 30, 2026, were those in which we had no intent, need, or requirement to sell at an amount less than their amortized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consolidated financial statements included in this quarterly report include amounts based on the use of estimates and judgments of management for those transactions that are not yet complete. We believe that the estimates and judgments that were most critical to the preparation of the consolidated financial statements involved the reserves for losses and LAE and reinsurance recoverables. These estimates and judgments require the use of assumptions about matters that are highly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uncertain and therefore are subject to change as facts and circumstances develop. Our accounting policies are discussed under "Critical Accounting Estimates" in Management’s Discussion and Analysis of Financial Condition and Results of Operations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potential economic loss principally arising from adverse changes in the fair value of financial instruments. The major components of market risk affecting us are credit risk, interest rate risk, and equity price risk.</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 xml:space="preserve">Credit Risk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fixed maturity securities, equity securities, other invested assets, and cash and cash equivalents are exposed to credit risk, which we attempt to mitigate through issuer and industry diversification. Our investment guidelines include limitations on the minimum rating of fixed maturity securities and concentrations of a single issuer.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also bear credit risk with respect to the reinsurers, which can be significant considering that some loss reserves remain outstanding for an extended period of time. We are required to pay losses even if a reinsurer refuses or fails to meet its obligations to us under the applicable reinsurance agreement(s). We continually monitor the financial condition and financial strength ratings of our reinsurers. Additionally, we bear credit risk with respect to premiums receivable, which is generally diversified due to the large number of entities comprising our policyholder base and their dispersion across many different industries and geographies.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addition, we also bear credit risk with respect to our banking and lending relationships. We mitigate this risk by maintaining relationships with highly rated financial institutions and monitoring their financial condition on an ongoing basis.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Economic disruptions caused by ongoing financial market volatility, inflationary pressures, heightened geopolitical conditions, and tariff uncertainty have impacted the credit risk associated with certain of our investment holdings. As of June 30, 2026, we maintained a $1.1 million allowance for CECL on our fixed maturity portfolio. See Note 5 to the consolidated financial statements.</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fixed maturity securities are exposed to interest rate risk, which is the risk of a change in fair value resulting from changes in prevailing interest rates, which we monitor through duration. Our fixed maturity investments (excluding cash and cash equivalents) had a duration of 4.5, which is measured by their sensitivity to changes in interest rates, at June 30, 2026. Our investment strategy balances consideration of duration, yield, and credit risk. We continually monitor the changes in interest rates and their impact on our liquidity and ability to meet our obligations.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Sensitivity Analysis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values or cash flows of our market sensitive investments are subject to potential losses in future earnings resulting from changes in interest rates and other market conditions. Our sensitivity analysis applies a hypothetical parallel shift in market rates and reflects what we believe are reasonably possible near-term changes in those rates (covering a period of time going forward up to one year from the date of the consolidated financial statements). Actual results may differ from the hypothetical change in market rates assumed in this disclosure. This sensitivity analysis does not reflect the results of any action that we may take to mitigate such hypothetical losses in fair value.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fair values to measure our potential loss in this model, which includes fixed maturity securities and short-term investments. For invested assets, we use modified duration modeling to calculate changes in fair values. Durations on invested assets are adjusted for call, put, and interest rate reset features. Invested asset portfolio durations are calculated on a market value weighted basis, excluding accrued investment income, using holdings as of June 30, 2026. The estimated changes in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values on our fixed maturity securities and short-term investments, which had an aggregate value of $2,059.6 million as of June 30, 2026, based on specific changes in interest rates are as follows:</w:t>
      </w:r>
    </w:p>
    <w:tbl>
      <w:tblPr>
        <w:tblW w:w="8316" w:type="dxa"/>
        <w:jc w:val="center"/>
        <w:tblInd w:w="0" w:type="dxa"/>
        <w:tblLayout w:type="fixed"/>
        <w:tblCellMar>
          <w:top w:w="28" w:type="dxa"/>
          <w:left w:w="28" w:type="dxa"/>
          <w:bottom w:w="28" w:type="dxa"/>
          <w:right w:w="28" w:type="dxa"/>
        </w:tblCellMar>
      </w:tblPr>
      <w:tblGrid>
        <w:gridCol w:w="1227"/>
        <w:gridCol w:w="1079"/>
        <w:gridCol w:w="1084"/>
        <w:gridCol w:w="109"/>
        <w:gridCol w:w="109"/>
        <w:gridCol w:w="109"/>
        <w:gridCol w:w="512"/>
        <w:gridCol w:w="1678"/>
        <w:gridCol w:w="264"/>
        <w:gridCol w:w="264"/>
        <w:gridCol w:w="264"/>
        <w:gridCol w:w="264"/>
        <w:gridCol w:w="293"/>
        <w:gridCol w:w="293"/>
        <w:gridCol w:w="767"/>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Hypothetical Changes in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Pre-tax Increase (Decrease) in Fair Value</w:t>
            </w:r>
          </w:p>
        </w:tc>
      </w:tr>
      <w:tr>
        <w:trPr/>
        <w:tc>
          <w:tcPr>
            <w:tcW w:w="3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basis point rise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rise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basis point 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 basis point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decline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basis point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pPr>
      <w:r>
        <w:rPr>
          <w:rFonts w:ascii="Times New Roman;serif" w:hAnsi="Times New Roman;serif"/>
          <w:b w:val="false"/>
          <w:color w:val="000000"/>
          <w:sz w:val="20"/>
        </w:rPr>
        <w:t>The most significant assessment of the effects of hypothetical changes in interest rates on investment income would be based on GAAP guidance related to "</w:t>
      </w:r>
      <w:r>
        <w:rPr>
          <w:rFonts w:ascii="Times New Roman;serif" w:hAnsi="Times New Roman;serif"/>
          <w:b w:val="false"/>
          <w:i/>
          <w:color w:val="000000"/>
          <w:sz w:val="20"/>
        </w:rPr>
        <w:t>Receivables- Nonrefundable Fees and Other Costs,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requires amortization adjustments for mortgage-backed securities. The rates at which the mortgages underlying mortgage-backed securities are prepaid, and therefore the average life of mortgage-backed securities, can vary depending on changes in interest rates (for example, mortgages tend to prepay faster and the average life of mortgage-backed securities falls when interest rates decline). Adjustments for changes in amortization are based on revised average life assumptions and would have an impact on investment income if a significant portion of our commercial and residential mortgage-backed securities were purchased at significant discounts or premiums to par value. As of June 30, 2026, the par value of our commercial and residential mortgage-backed securities holdings was $786.7 million, and the amortized cost was 99.5% of par value. The commercial and residential mortgage-backed securities portion of the portfolio totaled 34.8% of total investments as of June 30, 2026. Agency-backed residential mortgage pass-throughs represented 86.9% of the residential mortgage-backed securities portion of the portfolio as of June 30, 2026.</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Equity Price Risk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Equity price risk is the risk of a decline in market value of the equity securities we hold in our investment portfolio. Adverse changes in the market prices of the equity securities we hold in our investment portfolio could result in decreases in the fair value of our total assets on our Consolidated Balance Sheets and in net realized and unrealized gains and losses on our Consolidated Statements of Comprehensive Income (Loss). Economic and market disruptions caused by geopolitical conditions, inflationary pressures, and tariff uncertainty, have resulted in volatility in the fair value of our equity securities. We mitigate our exposure to equity price risk through dollar-cost averaging and by diversifying our equity holdings across several industry sectors.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sensitivity of our equity securities at fair value to price changes as of June 30, 2026:</w:t>
      </w:r>
    </w:p>
    <w:tbl>
      <w:tblPr>
        <w:tblW w:w="10205" w:type="dxa"/>
        <w:jc w:val="center"/>
        <w:tblInd w:w="0" w:type="dxa"/>
        <w:tblLayout w:type="fixed"/>
        <w:tblCellMar>
          <w:top w:w="28" w:type="dxa"/>
          <w:left w:w="28" w:type="dxa"/>
          <w:bottom w:w="28" w:type="dxa"/>
          <w:right w:w="28" w:type="dxa"/>
        </w:tblCellMar>
      </w:tblPr>
      <w:tblGrid>
        <w:gridCol w:w="417"/>
        <w:gridCol w:w="292"/>
        <w:gridCol w:w="294"/>
        <w:gridCol w:w="211"/>
        <w:gridCol w:w="511"/>
        <w:gridCol w:w="109"/>
        <w:gridCol w:w="109"/>
        <w:gridCol w:w="109"/>
        <w:gridCol w:w="109"/>
        <w:gridCol w:w="214"/>
        <w:gridCol w:w="626"/>
        <w:gridCol w:w="110"/>
        <w:gridCol w:w="109"/>
        <w:gridCol w:w="109"/>
        <w:gridCol w:w="109"/>
        <w:gridCol w:w="271"/>
        <w:gridCol w:w="792"/>
        <w:gridCol w:w="140"/>
        <w:gridCol w:w="109"/>
        <w:gridCol w:w="109"/>
        <w:gridCol w:w="109"/>
        <w:gridCol w:w="414"/>
        <w:gridCol w:w="1041"/>
        <w:gridCol w:w="216"/>
        <w:gridCol w:w="109"/>
        <w:gridCol w:w="109"/>
        <w:gridCol w:w="109"/>
        <w:gridCol w:w="269"/>
        <w:gridCol w:w="786"/>
        <w:gridCol w:w="139"/>
        <w:gridCol w:w="109"/>
        <w:gridCol w:w="109"/>
        <w:gridCol w:w="109"/>
        <w:gridCol w:w="411"/>
        <w:gridCol w:w="996"/>
        <w:gridCol w:w="311"/>
      </w:tblGrid>
      <w:tr>
        <w:trPr/>
        <w:tc>
          <w:tcPr>
            <w:tcW w:w="4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Fair Value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Impact on Decrease in Total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Fair Value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 Impact on Increase in Total Equity Securities</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1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4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3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Effects of Inflation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recent years, economic slowdowns, financial market volatility, monetary and fiscal policy measures, heightened geopolitical tensions and fluctuations in interest rates have contributed to higher levels of inflation and may continue to lead to elevated levels of inflation in future periods.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Higher levels of inflation than we have anticipated could significantly impact our financial statements and results of operations. Our estimates for losses and LAE include assumptions about the timing of closure and future payment of claims and claims handling expenses, such as medical treatments and litigation costs. To the extent that inflation causes these costs to increase above established reserves, we will be required to increase those reserves for losses and LAE, reducing our earnings in the period in which our assumptions are revised.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Higher levels of wage inflation can specifically impact the payrolls of our insureds, which is the basis for the premiums we charge, as well as the amount of future indemnity losses we may incur.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Higher levels of inflation could also adversely impact certain of our operating expenses and, in the case of wage inflation, could adversely impact our payroll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Elevated market interest rates in recent years, intended to aid in the suppression of inflation, can negatively impact the market value of our existing fixed maturity investments, despite our ability and intent to hold these investments to maturity. Higher interest rates, however, have also contributed to an increase in our net investment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have evaluated the effectiveness of our disclosure controls and procedures (as defined in Rules 13a-15(e) and 15d-15(e) under the Exchange Act), as of the end of the period covered by this report. Based on that evaluation, our Chief Executive Officer and Chief Financial Officer concluded that our disclosure controls and procedures were effective as of the end of the period covered by this report.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(as defined in Rule 13a-15(f) under the Exchange Act) during the period covered by this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center"/>
        <w:rPr/>
      </w:pPr>
      <w:r>
        <w:rPr>
          <w:rFonts w:ascii="Times New Roman;serif" w:hAnsi="Times New Roman;serif"/>
          <w:b/>
          <w:color w:val="000000"/>
          <w:sz w:val="20"/>
        </w:rPr>
        <w:t>PART II</w:t>
      </w:r>
      <w:r>
        <w:rPr>
          <w:color w:val="000000"/>
        </w:rPr>
        <w:t xml:space="preserve"> – </w:t>
      </w: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From time-to-time, we are involved in pending and threatened litigation in the normal course of business in which claims for monetary damages are asserted. In the opinion of management, the ultimate liability, if any, arising from such pending or threatened litigation is not expected to have a material effect on our results of operations, liquidity,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in our Annual Report the most significant risk factors that can impact year-to-year comparisons and that may affect the future performance of our business. On a quarterly basis, we review these disclosures and update the risk factors, as appropriate. As of the date of this report, there have been no material changes to the risk factors contained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pPr>
      <w:r>
        <w:rPr>
          <w:rFonts w:ascii="Times New Roman;serif" w:hAnsi="Times New Roman;serif"/>
          <w:b/>
          <w:color w:val="000000"/>
          <w:sz w:val="20"/>
        </w:rPr>
        <w:t>Item 2. Unregistered Sales of Equity Securities and Use of Proceeds</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repurchases of our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353"/>
        <w:gridCol w:w="310"/>
        <w:gridCol w:w="312"/>
        <w:gridCol w:w="109"/>
        <w:gridCol w:w="109"/>
        <w:gridCol w:w="109"/>
        <w:gridCol w:w="677"/>
        <w:gridCol w:w="569"/>
        <w:gridCol w:w="570"/>
        <w:gridCol w:w="109"/>
        <w:gridCol w:w="109"/>
        <w:gridCol w:w="109"/>
        <w:gridCol w:w="215"/>
        <w:gridCol w:w="628"/>
        <w:gridCol w:w="111"/>
        <w:gridCol w:w="109"/>
        <w:gridCol w:w="109"/>
        <w:gridCol w:w="109"/>
        <w:gridCol w:w="1059"/>
        <w:gridCol w:w="977"/>
        <w:gridCol w:w="980"/>
        <w:gridCol w:w="109"/>
        <w:gridCol w:w="109"/>
        <w:gridCol w:w="109"/>
        <w:gridCol w:w="457"/>
        <w:gridCol w:w="1337"/>
        <w:gridCol w:w="342"/>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w:t>
              <w:br/>
              <w:t>Dollar Value of Shares that</w:t>
              <w:br/>
              <w:t>May Yet be Purchased Under the Program</w:t>
            </w:r>
          </w:p>
        </w:tc>
      </w:tr>
      <w:tr>
        <w:trPr/>
        <w:tc>
          <w:tcPr>
            <w:tcW w:w="9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371,528 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371,528 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262,054 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262,054 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651,752 </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651,752 </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April 29, 2026, the Board authorized the 2026 Program (the 2026 Program) for repurchases up to $125.0 million of our common stock from May 4, 2026 through December 31, 2027, unless otherwise extended, terminated, or modified by the Board. The 2026 Program replaces a similar program that was scheduled to expire on December 31, 2026, but whose remaining repurchase authorization had been exhausted. The 2026 Program provides that shares may be purchased in the open market and/or in privately negotiated transactions from time to time, and that all purchases shall be made in compliance with all applicable provisions of the Nevada Revised Statutes and federal and state securities laws including, but not limited to, Rules 10b5-1 and 10b-18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such term is defined in Item 408(a) of Regulation S-K.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Entry into Credit Agreement Amendment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May 28, 2024, EHI entered into the Credit Agreement, which provided for a $25.0 million, unsecured, three-year revolving credit facility and is guaranteed by EGI and CGI. On July 29, 2026, EHI and Wells Fargo Bank, National Association, entered into Amendment No. 1 to the Credit Agreement. The Amendment increases the Credit Agreement to $35.0 million, extends the agreement through July 29, 2029, and remains guaranteed by EGI and CGI. To reflect the Company's recapitalization plan, the Amendment also reduces the minimum consolidated net worth covenant from $800.0 million to $700.0 million and the maximum debt to total capitalization ratio from 35.0% to 27.5%, applicable to fiscal quarters ending after the effective date. All other substantive terms of the Credit Agreement remain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5"/>
        <w:gridCol w:w="241"/>
        <w:gridCol w:w="242"/>
        <w:gridCol w:w="109"/>
        <w:gridCol w:w="109"/>
        <w:gridCol w:w="109"/>
        <w:gridCol w:w="1548"/>
        <w:gridCol w:w="1271"/>
        <w:gridCol w:w="1275"/>
        <w:gridCol w:w="109"/>
        <w:gridCol w:w="109"/>
        <w:gridCol w:w="109"/>
        <w:gridCol w:w="295"/>
        <w:gridCol w:w="295"/>
        <w:gridCol w:w="296"/>
        <w:gridCol w:w="109"/>
        <w:gridCol w:w="109"/>
        <w:gridCol w:w="109"/>
        <w:gridCol w:w="195"/>
        <w:gridCol w:w="195"/>
        <w:gridCol w:w="196"/>
        <w:gridCol w:w="111"/>
        <w:gridCol w:w="111"/>
        <w:gridCol w:w="111"/>
        <w:gridCol w:w="153"/>
        <w:gridCol w:w="153"/>
        <w:gridCol w:w="154"/>
        <w:gridCol w:w="111"/>
        <w:gridCol w:w="111"/>
        <w:gridCol w:w="111"/>
        <w:gridCol w:w="245"/>
        <w:gridCol w:w="245"/>
        <w:gridCol w:w="246"/>
        <w:gridCol w:w="111"/>
        <w:gridCol w:w="111"/>
        <w:gridCol w:w="111"/>
        <w:gridCol w:w="202"/>
        <w:gridCol w:w="202"/>
        <w:gridCol w:w="301"/>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 Herein</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Included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_amendmentno1tocredit.htm">
              <w:r>
                <w:rPr>
                  <w:rStyle w:val="InternetLink"/>
                  <w:rFonts w:ascii="Times New Roman;serif" w:hAnsi="Times New Roman;serif"/>
                  <w:b w:val="false"/>
                  <w:color w:val="0000FF"/>
                  <w:sz w:val="20"/>
                  <w:u w:val="single"/>
                </w:rPr>
                <w:t>Amendment No. 1 to Credit Agreement, dated as of July 29, 2026, by and among Employers Holdings, Inc., as Borrower, the lenders referred to therein, and Wells Fargo Bank, National Association, as Administrative Agent, Swingline Lender and Issuing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ig-ex311_2026630.htm">
              <w:r>
                <w:rPr>
                  <w:rStyle w:val="InternetLink"/>
                  <w:rFonts w:ascii="Times New Roman;serif" w:hAnsi="Times New Roman;serif"/>
                  <w:b w:val="false"/>
                  <w:color w:val="0000FF"/>
                  <w:sz w:val="20"/>
                  <w:u w:val="single"/>
                </w:rPr>
                <w:t>Certification of Katherine H. Antonello Pursuant to Section 302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ig-ex312_2026630.htm">
              <w:r>
                <w:rPr>
                  <w:rStyle w:val="InternetLink"/>
                  <w:rFonts w:ascii="Times New Roman;serif" w:hAnsi="Times New Roman;serif"/>
                  <w:b w:val="false"/>
                  <w:color w:val="0000FF"/>
                  <w:sz w:val="20"/>
                  <w:u w:val="single"/>
                </w:rPr>
                <w:t>Certification of Michael A. Pedraja Pursuant to Section 302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ig-ex321_2026630.htm">
              <w:r>
                <w:rPr>
                  <w:rStyle w:val="InternetLink"/>
                  <w:rFonts w:ascii="Times New Roman;serif" w:hAnsi="Times New Roman;serif"/>
                  <w:b w:val="false"/>
                  <w:color w:val="0000FF"/>
                  <w:sz w:val="20"/>
                  <w:u w:val="single"/>
                </w:rPr>
                <w:t>Certification of Katherine H. Antonello Pursuant to Section 906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ig-ex322_2026630.htm">
              <w:r>
                <w:rPr>
                  <w:rStyle w:val="InternetLink"/>
                  <w:rFonts w:ascii="Times New Roman;serif" w:hAnsi="Times New Roman;serif"/>
                  <w:b w:val="false"/>
                  <w:color w:val="0000FF"/>
                  <w:sz w:val="20"/>
                  <w:u w:val="single"/>
                </w:rPr>
                <w:t>Certification of Michael A. Pedraja Pursuant to Section 906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June 30, 2026, formatted in Inline XBRL: (i) Consolidated Balance Sheets, (ii) Consolidated Statements of Comprehensive Income (Loss), (iii) Consolidated Statements of Stockholders' Equity, (iv) Consolidated Statements of Cash Flows, and (v) Notes to Consolidated Financial Statements,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EMPLOYERS HOLDINGS, INC.</w:t>
      </w:r>
    </w:p>
    <w:tbl>
      <w:tblPr>
        <w:tblW w:w="621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01"/>
        <w:gridCol w:w="1301"/>
        <w:gridCol w:w="1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AMENDMENT NO. 1 TO CREDIT AGREEMENT</w:t>
      </w:r>
    </w:p>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This AMENDMENT NO. 1 TO CREDIT AGREEMENT (this "</w:t>
      </w:r>
      <w:r>
        <w:rPr>
          <w:rFonts w:ascii="Times New Roman;serif" w:hAnsi="Times New Roman;serif"/>
          <w:b w:val="false"/>
          <w:color w:val="000000"/>
          <w:sz w:val="24"/>
          <w:u w:val="single"/>
        </w:rPr>
        <w:t>Amendment</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dated as of July 29, 2026, is entered into by and among EMPLOYERS HOLDINGS, INC., a Nevada corporation ("</w:t>
      </w:r>
      <w:r>
        <w:rPr>
          <w:rFonts w:ascii="Times New Roman;serif" w:hAnsi="Times New Roman;serif"/>
          <w:b w:val="false"/>
          <w:color w:val="000000"/>
          <w:sz w:val="24"/>
          <w:u w:val="single"/>
        </w:rPr>
        <w:t>Borrower</w:t>
      </w:r>
      <w:r>
        <w:rPr>
          <w:rFonts w:ascii="Times New Roman;serif" w:hAnsi="Times New Roman;serif"/>
          <w:b w:val="false"/>
          <w:color w:val="000000"/>
          <w:sz w:val="24"/>
        </w:rPr>
        <w:t>"), each lender from time to time a party thereto (each a "</w:t>
      </w:r>
      <w:r>
        <w:rPr>
          <w:rFonts w:ascii="Times New Roman;serif" w:hAnsi="Times New Roman;serif"/>
          <w:b w:val="false"/>
          <w:color w:val="000000"/>
          <w:sz w:val="24"/>
          <w:u w:val="single"/>
        </w:rPr>
        <w:t>Lender</w:t>
      </w:r>
      <w:r>
        <w:rPr>
          <w:rFonts w:ascii="Times New Roman;serif" w:hAnsi="Times New Roman;serif"/>
          <w:b w:val="false"/>
          <w:color w:val="000000"/>
          <w:sz w:val="24"/>
        </w:rPr>
        <w:t>" and collectively, the "</w:t>
      </w:r>
      <w:r>
        <w:rPr>
          <w:rFonts w:ascii="Times New Roman;serif" w:hAnsi="Times New Roman;serif"/>
          <w:b w:val="false"/>
          <w:color w:val="000000"/>
          <w:sz w:val="24"/>
          <w:u w:val="single"/>
        </w:rPr>
        <w:t>Lenders</w:t>
      </w:r>
      <w:r>
        <w:rPr>
          <w:rFonts w:ascii="Times New Roman;serif" w:hAnsi="Times New Roman;serif"/>
          <w:b w:val="false"/>
          <w:color w:val="000000"/>
          <w:sz w:val="24"/>
        </w:rPr>
        <w:t>"), and WELLS FARGO BANK, NATIONAL ASSOCIATION, as Administrative Agent ("</w:t>
      </w:r>
      <w:r>
        <w:rPr>
          <w:rFonts w:ascii="Times New Roman;serif" w:hAnsi="Times New Roman;serif"/>
          <w:b w:val="false"/>
          <w:color w:val="000000"/>
          <w:sz w:val="24"/>
          <w:u w:val="single"/>
        </w:rPr>
        <w:t>Administrative Agent</w:t>
      </w:r>
      <w:r>
        <w:rPr>
          <w:rFonts w:ascii="Times New Roman;serif" w:hAnsi="Times New Roman;serif"/>
          <w:b w:val="false"/>
          <w:color w:val="000000"/>
          <w:sz w:val="24"/>
        </w:rPr>
        <w:t>"), with reference to the following facts:</w:t>
      </w:r>
    </w:p>
    <w:p>
      <w:pPr>
        <w:pStyle w:val="TextBody"/>
        <w:bidi w:val="0"/>
        <w:spacing w:lineRule="auto" w:line="288" w:before="24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0"/>
        <w:ind w:left="0" w:right="0" w:firstLine="720"/>
        <w:jc w:val="left"/>
        <w:rPr/>
      </w:pPr>
      <w:r>
        <w:rPr>
          <w:rFonts w:ascii="Times New Roman;serif" w:hAnsi="Times New Roman;serif"/>
          <w:b w:val="false"/>
          <w:color w:val="000000"/>
          <w:sz w:val="24"/>
        </w:rPr>
        <w:t>A.    Borrower is a party to that certain Credit Agreement dated as of May 28, 2024 (as heretofore amended, the "</w:t>
      </w:r>
      <w:r>
        <w:rPr>
          <w:rFonts w:ascii="Times New Roman;serif" w:hAnsi="Times New Roman;serif"/>
          <w:b w:val="false"/>
          <w:color w:val="000000"/>
          <w:sz w:val="24"/>
          <w:u w:val="single"/>
        </w:rPr>
        <w:t>Credit Agreement</w:t>
      </w:r>
      <w:r>
        <w:rPr>
          <w:rFonts w:ascii="Times New Roman;serif" w:hAnsi="Times New Roman;serif"/>
          <w:b w:val="false"/>
          <w:color w:val="000000"/>
          <w:sz w:val="24"/>
        </w:rPr>
        <w:t>"), by and among Borrower, the Lenders, and Administrative Agent. Capitalized terms not defined herein are used herein with the meanings set forth for those terms in the Credit Agreement.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Borrower has requested that the Lenders agree to (a) make an Incremental Increase pursuant to Section 5.13 of the Credit Agreement in the amount of $10,000,000, thereby increasing the aggregate Revolving Credit Commitment from $25,000,000 to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$35,000,000, (b) extend the Revolving Credit Maturity Date from May 28, 2027 to July 29, 2029, and (c) amend the financial covenants set forth in Section 9.14 of the Credit Agreement.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Lenders have agreed to make such Incremental Increase, such extension of the Revolving Credit Maturity Date and such amendments to the financial covenants set forth in Section 9.14 of the Credit Agreement, in each case, subject to the terms and conditions set forth below.</w:t>
      </w:r>
    </w:p>
    <w:p>
      <w:pPr>
        <w:pStyle w:val="TextBody"/>
        <w:bidi w:val="0"/>
        <w:spacing w:lineRule="auto" w:line="288" w:before="24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adequacy of which are hereby acknowledged, the parties hereto hereby agree as follows:</w:t>
      </w:r>
    </w:p>
    <w:p>
      <w:pPr>
        <w:pStyle w:val="TextBody"/>
        <w:bidi w:val="0"/>
        <w:spacing w:lineRule="auto" w:line="288" w:before="238" w:after="283"/>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Amendments to Section 1.1 – Definitions</w:t>
      </w:r>
      <w:r>
        <w:rPr>
          <w:rFonts w:ascii="Times New Roman;serif" w:hAnsi="Times New Roman;serif"/>
          <w:b w:val="false"/>
          <w:color w:val="000000"/>
          <w:sz w:val="24"/>
        </w:rPr>
        <w:t xml:space="preserve">. The following defined terms are hereby added to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Credit Agreement in proper alphabetical order or, to extent such terms already exist, are hereby amended and restated in their entirety as follows:</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color w:val="000000"/>
          <w:sz w:val="24"/>
          <w:u w:val="single"/>
        </w:rPr>
        <w:t>Amendment No. 1 Effective Date</w:t>
      </w:r>
      <w:r>
        <w:rPr>
          <w:rFonts w:ascii="Times New Roman;serif" w:hAnsi="Times New Roman;serif"/>
          <w:b w:val="false"/>
          <w:color w:val="000000"/>
          <w:sz w:val="24"/>
        </w:rPr>
        <w:t>" means July 29, 2026.</w:t>
      </w:r>
    </w:p>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Revolving Credit Commitment</w:t>
      </w:r>
      <w:r>
        <w:rPr>
          <w:rFonts w:ascii="Times New Roman;serif" w:hAnsi="Times New Roman;serif"/>
          <w:b w:val="false"/>
          <w:color w:val="000000"/>
          <w:sz w:val="24"/>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amount at any time outstanding not to exceed the amount set forth opposite such Revolving Credit Lender's name on the Register, as such amount may be modified at any time or from time to time pursuant to the terms hereof (including Section 5.13) and (b) as to all Revolving Credit Lenders, the aggregate commitment of all Revolving Credit Lenders to make Revolving Credit Loans, as such amount may be modified at any time or from time to time pursuant to the terms hereof (including Section 5.13). The aggregate Revolving Credit Commitment of all the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Credit Lenders on the Amendment No. 1 Effective Date shall be $35,000,000. The Revolving Credit Commitment of each Revolving Credit Lender on the Closing Date is set forth opposite the name of such Lender on Schedule 1.1(a).</w:t>
      </w:r>
    </w:p>
    <w:p>
      <w:pPr>
        <w:pStyle w:val="TextBody"/>
        <w:bidi w:val="0"/>
        <w:spacing w:lineRule="auto" w:line="288" w:before="240" w:after="283"/>
        <w:ind w:left="0" w:right="0" w:firstLine="720"/>
        <w:jc w:val="left"/>
        <w:rPr/>
      </w:pPr>
      <w:r>
        <w:rPr>
          <w:rFonts w:ascii="Times New Roman;serif" w:hAnsi="Times New Roman;serif"/>
          <w:b w:val="false"/>
          <w:color w:val="000000"/>
          <w:sz w:val="24"/>
        </w:rPr>
        <w:t>"</w:t>
      </w:r>
      <w:r>
        <w:rPr>
          <w:rFonts w:ascii="Times New Roman;serif" w:hAnsi="Times New Roman;serif"/>
          <w:b w:val="false"/>
          <w:color w:val="000000"/>
          <w:sz w:val="24"/>
          <w:u w:val="single"/>
        </w:rPr>
        <w:t>Revolving Credit Maturity Date</w:t>
      </w:r>
      <w:r>
        <w:rPr>
          <w:rFonts w:ascii="Times New Roman;serif" w:hAnsi="Times New Roman;serif"/>
          <w:b w:val="false"/>
          <w:color w:val="000000"/>
          <w:sz w:val="24"/>
        </w:rPr>
        <w:t>" means the earliest to occur of (a) June , 2029, (b) the date of termination of the entire Revolving Credit Commitment by the Borrower pursuant to Section 2.5, and (c) the date of termination of the Revolving Credit Commitment pursuant to Section 10.2(a).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Amendment to Section 9.1(k)</w:t>
      </w:r>
      <w:r>
        <w:rPr>
          <w:rFonts w:ascii="Times New Roman;serif" w:hAnsi="Times New Roman;serif"/>
          <w:b w:val="false"/>
          <w:color w:val="000000"/>
          <w:sz w:val="24"/>
        </w:rPr>
        <w:t>. Section 9.1(k) of the Credit Agreement is hereby amended and restated in its entirety to read as follows: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Indebtedness of Insurance Subsidiaries owing to any one or more Federal Home Loan Banks in an aggregate principal amount at any time outstanding not exceeding $285,000,000;</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Amendment to Section 9.1(q)</w:t>
      </w:r>
      <w:r>
        <w:rPr>
          <w:rFonts w:ascii="Times New Roman;serif" w:hAnsi="Times New Roman;serif"/>
          <w:b w:val="false"/>
          <w:color w:val="000000"/>
          <w:sz w:val="24"/>
        </w:rPr>
        <w:t>. Section 9.1(q) of the Credit Agreement is hereby amended and restated in its entirety to read as follows: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(q)    other Indebtedness of the Credit Parties in an aggregate principal amount not to exceed $125,000,000 at any time outstanding, provided that (i) such Indebtedness is unsecured and ranks pari passu in right of payment with, or ranks subordinated in right of payment to, the Obligations, (ii) no Default or Event of Default shall be continuing or shall result therefrom and (iii) as of the date of incurrence of such Indebtedness, after giving effect to such Indebtedness, the Borrower and its Subsidiaries shall be in pro forma compliance with Sections 9.14(a) and 9.14(b) as of the last day of the most recently ended fiscal quarter for which financial statements have been delivered pursuant to Section 8.1(b).</w:t>
      </w:r>
    </w:p>
    <w:p>
      <w:pPr>
        <w:pStyle w:val="TextBody"/>
        <w:bidi w:val="0"/>
        <w:spacing w:lineRule="auto" w:line="288" w:before="239" w:after="283"/>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Amendment to Section 9.14</w:t>
      </w:r>
      <w:r>
        <w:rPr>
          <w:rFonts w:ascii="Times New Roman;serif" w:hAnsi="Times New Roman;serif"/>
          <w:b w:val="false"/>
          <w:color w:val="000000"/>
          <w:sz w:val="24"/>
        </w:rPr>
        <w:t>. Section 9.14 of the Credit Agreement is hereby amended and restated in its entirety to read as follows:</w:t>
      </w:r>
    </w:p>
    <w:p>
      <w:pPr>
        <w:pStyle w:val="TextBody"/>
        <w:bidi w:val="0"/>
        <w:spacing w:lineRule="auto" w:line="288" w:before="240" w:after="283"/>
        <w:jc w:val="left"/>
        <w:rPr/>
      </w:pPr>
      <w:r>
        <w:rPr>
          <w:rFonts w:ascii="Times New Roman;serif" w:hAnsi="Times New Roman;serif"/>
          <w:b w:val="false"/>
          <w:color w:val="000000"/>
          <w:sz w:val="24"/>
        </w:rPr>
        <w:t>SECTION 9.14    </w:t>
      </w:r>
      <w:r>
        <w:rPr>
          <w:rFonts w:ascii="Times New Roman;serif" w:hAnsi="Times New Roman;serif"/>
          <w:b w:val="false"/>
          <w:color w:val="000000"/>
          <w:sz w:val="24"/>
          <w:u w:val="single"/>
        </w:rPr>
        <w:t>Financial Covenants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4"/>
          <w:u w:val="single"/>
        </w:rPr>
        <w:t>Debt to Total Capitalization Ratio</w:t>
      </w:r>
      <w:r>
        <w:rPr>
          <w:rFonts w:ascii="Times New Roman;serif" w:hAnsi="Times New Roman;serif"/>
          <w:b w:val="false"/>
          <w:color w:val="000000"/>
          <w:sz w:val="24"/>
        </w:rPr>
        <w:t>. Permit the Debt to Total Capitalization Ratio (i) as at the end of any fiscal quarter ending after the Closing Date and prior to the Amendment No. 1 Effective Date to be more than 35%, and (ii) as at the end of any fiscal quarter ending after the Amendment No. 1 Effective Date to be more than 27.5%.</w:t>
      </w:r>
    </w:p>
    <w:p>
      <w:pPr>
        <w:pStyle w:val="TextBody"/>
        <w:bidi w:val="0"/>
        <w:spacing w:lineRule="auto" w:line="288" w:before="241" w:after="283"/>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4"/>
          <w:u w:val="single"/>
        </w:rPr>
        <w:t>Net Worth</w:t>
      </w:r>
      <w:r>
        <w:rPr>
          <w:rFonts w:ascii="Times New Roman;serif" w:hAnsi="Times New Roman;serif"/>
          <w:b w:val="false"/>
          <w:color w:val="000000"/>
          <w:sz w:val="24"/>
        </w:rPr>
        <w:t>. Permit the Net Worth of the Borrower and its consolidated Subsidiaries (i) as at the end of any fiscal quarter ending after the Closing Date and prior to the Amendment No. 1 Effective Date to be less than, $800,000,000, and (ii) as at the end of any fiscal quarter ending after the Amendment No. 1 Effective Date to be less than, $700,000,000.</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Addition of Section 9.16</w:t>
      </w:r>
      <w:r>
        <w:rPr>
          <w:rFonts w:ascii="Times New Roman;serif" w:hAnsi="Times New Roman;serif"/>
          <w:b w:val="false"/>
          <w:color w:val="000000"/>
          <w:sz w:val="24"/>
        </w:rPr>
        <w:t>. The following new Section 9.16 is added to the Credit Agreement immediately following Section 9.15:</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9.16. </w:t>
      </w:r>
      <w:r>
        <w:rPr>
          <w:rFonts w:ascii="Times New Roman;serif" w:hAnsi="Times New Roman;serif"/>
          <w:b w:val="false"/>
          <w:color w:val="000000"/>
          <w:sz w:val="24"/>
          <w:u w:val="single"/>
        </w:rPr>
        <w:t>Most Favored Provisions</w:t>
      </w:r>
      <w:r>
        <w:rPr>
          <w:rFonts w:ascii="Times New Roman;serif" w:hAnsi="Times New Roman;serif"/>
          <w:b w:val="false"/>
          <w:color w:val="000000"/>
          <w:sz w:val="24"/>
        </w:rPr>
        <w:t>. If at any time any (a) Credit Party incurs any Indebtedness pursuant to Section 9.1(q), which, when aggregated with all other Indebtedness incurred pursuant to such section, equals or exceeds $15,000,000 in principal, and (b) any agreement or document evidencing all such Indebtedness includes (i) any negative covenant (including, without limitation, any basket, threshold, cap, ratio, or exception thereto) that is new or more restrictive than the negative covenants set forth in Article IX of this Agreement or (ii) any financial maintenance covenant (or any defined term used therein) that is new or more restrictive than the corresponding financial maintenance covenant set forth in Section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9.14 of this Agreement (each, a “Most Favored Provision”), then (i) such Most Favored Provision shall be deemed automatically incorporated by reference in this Agreement as if set forth fully herein, mutatis mutandis, for so long as such Most Favored Provision remains in effect under the agreement or document evidencing such Indebtedness, and (ii) Borrower shall, within ten (10) Business Days after entering into any such Most Favored Provision, so advise the Administrative Agent in writing.</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is hereby agreed that: (x) the foregoing shall apply only to financial maintenance covenants and shall not apply to any covenant, event of default, representation, undertaking or other provision that is not a financial maintenance covenant (including, without limitation, any ERISA, insurance-regulatory, tax, sanctions, reporting, ratings-maintenance or administrative provision); (y) upon any such Most Favored Provision ceasing to be in effect, or being amended to be less restrictive, under the agreement or document evidencing such Indebtedness, the corresponding provision incorporated herein shall automatically and simultaneously cease to be in effect or be deemed correspondingly amended hereunder, without the need for any further action or consent; and (z) at the request of either the Borrower or the Required Lenders, the Borrower and the Required Lenders shall enter into an amendment to this Agreement evidencing the addition, removal, or amendment of any such Most Favored Provision, but the absence of such amendment shall not affect the operation of clause (i) of the first sentence of the previous paragraph or clauses (x) or</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(y) of this paragraph.</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Amendment to Schedule 1.1(a) to the Credit Agreement</w:t>
      </w:r>
      <w:r>
        <w:rPr>
          <w:rFonts w:ascii="Times New Roman;serif" w:hAnsi="Times New Roman;serif"/>
          <w:b w:val="false"/>
          <w:color w:val="000000"/>
          <w:sz w:val="24"/>
        </w:rPr>
        <w:t xml:space="preserve">. Schedule 1.1(a) to the Credit Agreement is hereby replaced in its entirety with the new Schedule 1.1(a) attached hereto as </w:t>
      </w:r>
      <w:r>
        <w:rPr>
          <w:rFonts w:ascii="Times New Roman;serif" w:hAnsi="Times New Roman;serif"/>
          <w:b w:val="false"/>
          <w:color w:val="000000"/>
          <w:sz w:val="24"/>
          <w:u w:val="single"/>
        </w:rPr>
        <w:t>Annex 1</w:t>
      </w:r>
      <w:r>
        <w:rPr>
          <w:rFonts w:ascii="Times New Roman;serif" w:hAnsi="Times New Roman;serif"/>
          <w:b w:val="false"/>
          <w:color w:val="000000"/>
          <w:sz w:val="24"/>
        </w:rPr>
        <w: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Representations and Warranties of Borrower</w:t>
      </w:r>
      <w:r>
        <w:rPr>
          <w:rFonts w:ascii="Times New Roman;serif" w:hAnsi="Times New Roman;serif"/>
          <w:b w:val="false"/>
          <w:color w:val="000000"/>
          <w:sz w:val="24"/>
        </w:rPr>
        <w:t>. To induce Administrative Agent and the Lenders to enter into this Amendment, Borrower hereby represents and warrants to Administrative Agent and the Lenders that: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Borrower has all necessary power and has taken all action necessary to enter into this Amendment, and this Amendment constitutes the legal, valid and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obligation of Borrower, enforceable against Borrower in accordance with its terms, except as such enforceability may be limited by the Bankruptcy Code or any similar debtor relief laws or by equitable principles relating to enforceability;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after giving effect to the execution, delivery and effectiveness of this Amendment and the transactions contemplated hereby, no Default or Event of Default under the Credit Agreement has occurred and remains continuing;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after giving effect to the execution, delivery and effectiveness of this Amendment, each of the representations and warranties set forth in Article IV of the Credit Agreement are true and correct in all material respects as of the date of this Amendment (other than those representations which relate solely to a prior date, each of which was true as of that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The effectiveness of this Amendment is subject to the prior fulfillment of each of the following conditions precedent to the satisfaction of Administrative Agent: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Administrative Agent shall have received this Amendment, duly executed by the Borrower;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(b)    Administrative Agent shall have received the Consent and Reaffirmation from Guarantors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duly executed by each of the Guarantors;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Administrative Agent shall have received such other certificates, documents and consents as Administrative Agent may reasonably require in connection with this Amendment;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(d)    Administrative Agent shall have received from Borrower an amendment fee in an aggregate amount equal to $73,750 (the "</w:t>
      </w:r>
      <w:r>
        <w:rPr>
          <w:rFonts w:ascii="Times New Roman;serif" w:hAnsi="Times New Roman;serif"/>
          <w:b w:val="false"/>
          <w:color w:val="000000"/>
          <w:sz w:val="24"/>
          <w:u w:val="single"/>
        </w:rPr>
        <w:t>Amendment Fee</w:t>
      </w:r>
      <w:r>
        <w:rPr>
          <w:rFonts w:ascii="Times New Roman;serif" w:hAnsi="Times New Roman;serif"/>
          <w:b w:val="false"/>
          <w:color w:val="000000"/>
          <w:sz w:val="24"/>
        </w:rPr>
        <w:t>"), which such Amendment Fee shall be for the account of the Lenders based on their pro rata share of the Total Credit Exposure; and</w:t>
      </w:r>
    </w:p>
    <w:p>
      <w:pPr>
        <w:pStyle w:val="TextBody"/>
        <w:bidi w:val="0"/>
        <w:spacing w:lineRule="auto" w:line="288" w:before="238"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Borrower shall have paid the expenses of Administrative Agent incurred in connection with this Amendment and the transactions contemplated hereby, including, without limitation, the fees and expenses of Administrative Agent's counsel, Sheppard, Mullin, Richter &amp; Hampton LLP, invoiced prior to the date of this Amendment (based upon an estimated statement, which will not preclude later settlement of these amounts).</w:t>
      </w:r>
    </w:p>
    <w:p>
      <w:pPr>
        <w:pStyle w:val="TextBody"/>
        <w:bidi w:val="0"/>
        <w:spacing w:lineRule="auto" w:line="288" w:before="241" w:after="283"/>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Confirmation</w:t>
      </w:r>
      <w:r>
        <w:rPr>
          <w:rFonts w:ascii="Times New Roman;serif" w:hAnsi="Times New Roman;serif"/>
          <w:b w:val="false"/>
          <w:color w:val="000000"/>
          <w:sz w:val="24"/>
        </w:rPr>
        <w:t>. For the avoidance of doubt, the parties hereto confirm that as a result of the exercise of the Incremental Increase pursuant hereto, there is no remaining availability for Incremental Increases under Section 5.13 of the Credit Agreement. In all other respects, the terms of the Credit Agreement and the other Loan Documents are hereby confirmed and remain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Regulatory Savings</w:t>
      </w:r>
      <w:r>
        <w:rPr>
          <w:rFonts w:ascii="Times New Roman;serif" w:hAnsi="Times New Roman;serif"/>
          <w:b w:val="false"/>
          <w:color w:val="000000"/>
          <w:sz w:val="24"/>
        </w:rPr>
        <w:t>. Notwithstanding anything to the contrary contained in this Amendment or any other Loan Document, nothing herein shall be construed to require any of the Insurance Subsidiaries to (i) make any payment or take any action prohibited by applicable insurance law or regulation, (ii) cause any asset of any of the Insurance Subsidiaries to be treated as non-admitted for statutory accounting purposes, or (iii) impair any of the Insurance Subsidiaries’ compliance with applicable risk-based capital requirements. To the extent any provision of this Amendment would have such effect, it shall be deemed modified to the minimum extent necessary to comply with any applicable insurance laws or regulations.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Release</w:t>
      </w:r>
      <w:r>
        <w:rPr>
          <w:rFonts w:ascii="Times New Roman;serif" w:hAnsi="Times New Roman;serif"/>
          <w:b w:val="false"/>
          <w:color w:val="000000"/>
          <w:sz w:val="24"/>
        </w:rPr>
        <w:t xml:space="preserve">. In consideration of the amendments contained herein and to the fullest extent permitted by law, Borrower and, by its execution of the Consent and Reaffirmation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each Guarantor hereby releases and forever discharges Administrative Agent, each Lender, and Agent's and each Lender's respective predecessors, successors, assigns, officers, managers, directors, employees, agents, attorneys, representatives, and affiliates (hereinafter all of the above collectively referred to as the "Released Parties"), from any and all known claims, counterclaims, demands, damages, debts, suits, liabilities, actions and causes of action of any nature whatsoever arising as a result of facts, conditions, events or circumstances occurring on or prior to the date hereof in connection with the Loan Documents or the transactions contemplated thereby; provided however, that nothing herein shall release any claims arising from fraud, gross negligence or willful misconduct of any of the Released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Counterparts; Integration; Effectiveness</w:t>
      </w:r>
      <w:r>
        <w:rPr>
          <w:rFonts w:ascii="Times New Roman;serif" w:hAnsi="Times New Roman;serif"/>
          <w:b w:val="false"/>
          <w:color w:val="000000"/>
          <w:sz w:val="24"/>
        </w:rPr>
        <w:t>. This Amendment may be executed in counterparts (and by different parties hereto in different counterparts), each of which shall constitute an original, but all of which when taken together shall constitute a single contract. Except as provided in Section 8, this Amendment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Amendment by facsimile or in electronic transmission (i.e., "pdf" or "tif") format shall be effective as delivery of a manually executed counterpart of this Amendment.</w:t>
      </w:r>
    </w:p>
    <w:p>
      <w:pPr>
        <w:pStyle w:val="TextBody"/>
        <w:bidi w:val="0"/>
        <w:spacing w:lineRule="auto" w:line="288" w:before="239" w:after="283"/>
        <w:ind w:left="0" w:right="0" w:firstLine="720"/>
        <w:jc w:val="left"/>
        <w:rPr/>
      </w:pPr>
      <w:r>
        <w:rPr>
          <w:rFonts w:ascii="Times New Roman;serif" w:hAnsi="Times New Roman;serif"/>
          <w:b w:val="false"/>
          <w:color w:val="000000"/>
          <w:sz w:val="24"/>
        </w:rPr>
        <w:t>13.    </w:t>
      </w:r>
      <w:r>
        <w:rPr>
          <w:rFonts w:ascii="Times New Roman;serif" w:hAnsi="Times New Roman;serif"/>
          <w:b w:val="false"/>
          <w:color w:val="000000"/>
          <w:sz w:val="24"/>
          <w:u w:val="single"/>
        </w:rPr>
        <w:t>Amendment as Loan Document; Governing Law; Jurisdiction; Waiver of Jury</w:t>
      </w:r>
      <w:r>
        <w:rPr>
          <w:color w:val="000000"/>
        </w:rPr>
        <w:t xml:space="preserve"> </w:t>
      </w:r>
      <w:r>
        <w:rPr>
          <w:rFonts w:ascii="Times New Roman;serif" w:hAnsi="Times New Roman;serif"/>
          <w:b w:val="false"/>
          <w:color w:val="000000"/>
          <w:sz w:val="24"/>
          <w:u w:val="single"/>
        </w:rPr>
        <w:t>Trial</w:t>
      </w:r>
      <w:r>
        <w:rPr>
          <w:rFonts w:ascii="Times New Roman;serif" w:hAnsi="Times New Roman;serif"/>
          <w:b w:val="false"/>
          <w:color w:val="000000"/>
          <w:sz w:val="24"/>
        </w:rPr>
        <w:t>. This Amendment shall constitute a Loan Document under the Credit Agreement, and, accordingly, it shall be an Event of Default under the Credit Agreement if Borrower fails to perform or comply with any covenant or agreement contained herein. Without limiting the foregoing sentence, it is expressly agreed that Section 12.5 (Governing Law; Jurisdiction; Venue; Etc.) and Section 12.6 (Waiver of Jury Trial) of the Credit Agreement is hereby incorporated by reference into this Amendment, and shall be in effect with respect to this Amendment as though set forth fully in this Amendment. Any provision of any Loan Document which applies to Loan Documents generally shall apply to this Amendment.</w:t>
      </w:r>
    </w:p>
    <w:p>
      <w:pPr>
        <w:pStyle w:val="TextBody"/>
        <w:bidi w:val="0"/>
        <w:spacing w:lineRule="auto" w:line="288" w:before="241" w:after="283"/>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pStyle w:val="TextBody"/>
        <w:bidi w:val="0"/>
        <w:spacing w:before="241"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207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date first above written.</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EMPLOYERS HOLDINGS,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Nevada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 xml:space="preserve">Name: </w:t>
      </w:r>
      <w:r>
        <w:rPr>
          <w:color w:val="000000"/>
          <w:u w:val="single"/>
        </w:rPr>
        <w:t>    </w:t>
      </w:r>
      <w:r>
        <w:rPr>
          <w:color w:val="000000"/>
        </w:rPr>
        <w:t xml:space="preserve"> </w:t>
      </w:r>
      <w:r>
        <w:rPr>
          <w:rFonts w:ascii="Times New Roman;serif" w:hAnsi="Times New Roman;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both"/>
        <w:rPr/>
      </w:pPr>
      <w:r>
        <w:rPr>
          <w:rFonts w:ascii="Times New Roman;serif" w:hAnsi="Times New Roman;serif"/>
          <w:b/>
          <w:color w:val="000000"/>
          <w:sz w:val="24"/>
        </w:rPr>
        <w:t>WELLS FARGO BANK, NATIONAL ASSOCIATION</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 xml:space="preserve">Name: </w:t>
      </w:r>
      <w:r>
        <w:rPr>
          <w:color w:val="000000"/>
          <w:u w:val="single"/>
        </w:rPr>
        <w:t>    </w:t>
      </w:r>
      <w:r>
        <w:rPr>
          <w:color w:val="000000"/>
        </w:rPr>
        <w:t xml:space="preserve"> </w:t>
      </w:r>
      <w:r>
        <w:rPr>
          <w:rFonts w:ascii="Times New Roman;serif" w:hAnsi="Times New Roman;serif"/>
          <w:b w:val="false"/>
          <w:color w:val="000000"/>
          <w:sz w:val="24"/>
        </w:rPr>
        <w:t xml:space="preserve">Title: </w:t>
      </w:r>
      <w:r>
        <w:rPr>
          <w:color w:val="000000"/>
          <w:u w:val="single"/>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Amendment No. 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AND REAFFIRMATION OF GUARANTORS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This Consent and Reaffirmation of Guarantors ("</w:t>
      </w:r>
      <w:r>
        <w:rPr>
          <w:rFonts w:ascii="Times New Roman;serif" w:hAnsi="Times New Roman;serif"/>
          <w:b w:val="false"/>
          <w:color w:val="000000"/>
          <w:sz w:val="24"/>
          <w:u w:val="single"/>
        </w:rPr>
        <w:t>Consent</w:t>
      </w:r>
      <w:r>
        <w:rPr>
          <w:rFonts w:ascii="Times New Roman;serif" w:hAnsi="Times New Roman;serif"/>
          <w:b w:val="false"/>
          <w:color w:val="000000"/>
          <w:sz w:val="24"/>
        </w:rPr>
        <w:t>") is delivered with reference to that certain Credit Agreement dated as of May 28, 2024 (as heretofore amended, the "</w:t>
      </w:r>
      <w:r>
        <w:rPr>
          <w:rFonts w:ascii="Times New Roman;serif" w:hAnsi="Times New Roman;serif"/>
          <w:b w:val="false"/>
          <w:color w:val="000000"/>
          <w:sz w:val="24"/>
          <w:u w:val="single"/>
        </w:rPr>
        <w:t>Credit</w:t>
      </w:r>
      <w:r>
        <w:rPr>
          <w:color w:val="000000"/>
        </w:rPr>
        <w:t xml:space="preserve"> </w:t>
      </w:r>
      <w:r>
        <w:rPr>
          <w:rFonts w:ascii="Times New Roman;serif" w:hAnsi="Times New Roman;serif"/>
          <w:b w:val="false"/>
          <w:color w:val="000000"/>
          <w:sz w:val="24"/>
          <w:u w:val="single"/>
        </w:rPr>
        <w:t>Agreement</w:t>
      </w:r>
      <w:r>
        <w:rPr>
          <w:rFonts w:ascii="Times New Roman;serif" w:hAnsi="Times New Roman;serif"/>
          <w:b w:val="false"/>
          <w:color w:val="000000"/>
          <w:sz w:val="24"/>
        </w:rPr>
        <w:t>"), by and among EMPLOYERS HOLDINGS, INC., a Nevada corporation ("</w:t>
      </w:r>
      <w:r>
        <w:rPr>
          <w:rFonts w:ascii="Times New Roman;serif" w:hAnsi="Times New Roman;serif"/>
          <w:b w:val="false"/>
          <w:color w:val="000000"/>
          <w:sz w:val="24"/>
          <w:u w:val="single"/>
        </w:rPr>
        <w:t>Borrower</w:t>
      </w:r>
      <w:r>
        <w:rPr>
          <w:rFonts w:ascii="Times New Roman;serif" w:hAnsi="Times New Roman;serif"/>
          <w:b w:val="false"/>
          <w:color w:val="000000"/>
          <w:sz w:val="24"/>
        </w:rPr>
        <w:t>"), each lender from time to time a party thereto (each a "</w:t>
      </w:r>
      <w:r>
        <w:rPr>
          <w:rFonts w:ascii="Times New Roman;serif" w:hAnsi="Times New Roman;serif"/>
          <w:b w:val="false"/>
          <w:color w:val="000000"/>
          <w:sz w:val="24"/>
          <w:u w:val="single"/>
        </w:rPr>
        <w:t>Lender</w:t>
      </w:r>
      <w:r>
        <w:rPr>
          <w:rFonts w:ascii="Times New Roman;serif" w:hAnsi="Times New Roman;serif"/>
          <w:b w:val="false"/>
          <w:color w:val="000000"/>
          <w:sz w:val="24"/>
        </w:rPr>
        <w:t>" and collectively, the "</w:t>
      </w:r>
      <w:r>
        <w:rPr>
          <w:rFonts w:ascii="Times New Roman;serif" w:hAnsi="Times New Roman;serif"/>
          <w:b w:val="false"/>
          <w:color w:val="000000"/>
          <w:sz w:val="24"/>
          <w:u w:val="single"/>
        </w:rPr>
        <w:t>Lenders</w:t>
      </w:r>
      <w:r>
        <w:rPr>
          <w:rFonts w:ascii="Times New Roman;serif" w:hAnsi="Times New Roman;serif"/>
          <w:b w:val="false"/>
          <w:color w:val="000000"/>
          <w:sz w:val="24"/>
        </w:rPr>
        <w:t>"), and WELLS FARGO BANK, NATIONAL ASSOCIATION, as Administrative Agent ("</w:t>
      </w:r>
      <w:r>
        <w:rPr>
          <w:rFonts w:ascii="Times New Roman;serif" w:hAnsi="Times New Roman;serif"/>
          <w:b w:val="false"/>
          <w:color w:val="000000"/>
          <w:sz w:val="24"/>
          <w:u w:val="single"/>
        </w:rPr>
        <w:t>Administrative Agent</w:t>
      </w:r>
      <w:r>
        <w:rPr>
          <w:rFonts w:ascii="Times New Roman;serif" w:hAnsi="Times New Roman;serif"/>
          <w:b w:val="false"/>
          <w:color w:val="000000"/>
          <w:sz w:val="24"/>
        </w:rPr>
        <w:t>"). Capitalized terms not defined herein are used herein with the meanings set forth for those terms in the Credit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Each of the undersigned hereby (a) ratifies and reaffirms all of its obligations to the Administrative Agent and the Lenders under the Loan Documents to which it is a party, (b) consents to the execution and delivery by Borrower of Amendment No. 1 to Credit Agreement (the "</w:t>
      </w:r>
      <w:r>
        <w:rPr>
          <w:rFonts w:ascii="Times New Roman;serif" w:hAnsi="Times New Roman;serif"/>
          <w:b w:val="false"/>
          <w:color w:val="000000"/>
          <w:sz w:val="24"/>
          <w:u w:val="single"/>
        </w:rPr>
        <w:t>Amendment</w:t>
      </w:r>
      <w:r>
        <w:rPr>
          <w:rFonts w:ascii="Times New Roman;serif" w:hAnsi="Times New Roman;serif"/>
          <w:b w:val="false"/>
          <w:color w:val="000000"/>
          <w:sz w:val="24"/>
        </w:rPr>
        <w:t>"), (c) agrees to the release contained in Section 11 of the Amendment, and (d) confirms that each of the Loan Documents to which it is a party remains in full force and effect. Each of the undersigned agrees that the execution of this Consent is not necessary for the continued validity and enforceability of the Loan Documents but is executed in order to induce Administrative Agent and the Lenders to enter into the Amendment. Each of the undersigned further acknowledges that neither Administrative Agent nor the Lenders have any obligation to inform the undersigned of future amendments to the Credit Agreement or other Loan Documents or to obtain such party’s consent thereto except to the extent expressly required under the applicable Loan Documents.</w:t>
      </w:r>
    </w:p>
    <w:p>
      <w:pPr>
        <w:pStyle w:val="TextBody"/>
        <w:bidi w:val="0"/>
        <w:spacing w:lineRule="auto" w:line="288" w:before="275"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60" w:after="283"/>
        <w:ind w:left="0" w:right="0" w:firstLine="1980"/>
        <w:jc w:val="left"/>
        <w:rPr>
          <w:rFonts w:ascii="Times New Roman;serif" w:hAnsi="Times New Roman;serif"/>
          <w:b w:val="false"/>
          <w:color w:val="000000"/>
          <w:sz w:val="24"/>
        </w:rPr>
      </w:pPr>
      <w:r>
        <w:rPr>
          <w:rFonts w:ascii="Times New Roman;serif" w:hAnsi="Times New Roman;serif"/>
          <w:b w:val="false"/>
          <w:color w:val="000000"/>
          <w:sz w:val="24"/>
        </w:rPr>
        <w:t>IN WITNESS WHEREOF, each of the undersigned, intending to be legally bound hereby, has caused this Consent and Reaffirmation of Guarantors to be executed as of the date of the Amendment.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EMPLOYERS GROUP,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Nevada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 xml:space="preserve">Name: </w:t>
      </w:r>
      <w:r>
        <w:rPr>
          <w:color w:val="000000"/>
          <w:u w:val="single"/>
        </w:rPr>
        <w:t>    </w:t>
      </w:r>
      <w:r>
        <w:rPr>
          <w:color w:val="000000"/>
        </w:rPr>
        <w:t xml:space="preserve"> </w:t>
      </w:r>
      <w:r>
        <w:rPr>
          <w:rFonts w:ascii="Times New Roman;serif" w:hAnsi="Times New Roman;serif"/>
          <w:b w:val="false"/>
          <w:color w:val="000000"/>
          <w:sz w:val="24"/>
        </w:rPr>
        <w:t xml:space="preserve">Title: </w:t>
      </w:r>
      <w:r>
        <w:rPr>
          <w:color w:val="000000"/>
          <w:u w:val="single"/>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CERITY GROUP,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Nevada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 xml:space="preserve">Name: </w:t>
      </w:r>
      <w:r>
        <w:rPr>
          <w:color w:val="000000"/>
          <w:u w:val="single"/>
        </w:rPr>
        <w:t>    </w:t>
      </w:r>
      <w:r>
        <w:rPr>
          <w:color w:val="000000"/>
        </w:rPr>
        <w:t xml:space="preserve"> </w:t>
      </w:r>
      <w:r>
        <w:rPr>
          <w:rFonts w:ascii="Times New Roman;serif" w:hAnsi="Times New Roman;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right"/>
        <w:rPr>
          <w:rFonts w:ascii="Times New Roman;serif" w:hAnsi="Times New Roman;serif"/>
          <w:b/>
          <w:i/>
          <w:color w:val="000000"/>
          <w:sz w:val="22"/>
        </w:rPr>
      </w:pPr>
      <w:r>
        <w:rPr>
          <w:rFonts w:ascii="Times New Roman;serif" w:hAnsi="Times New Roman;serif"/>
          <w:b/>
          <w:i/>
          <w:color w:val="000000"/>
          <w:sz w:val="22"/>
        </w:rPr>
        <w:t>ANNEX 1</w:t>
      </w:r>
    </w:p>
    <w:p>
      <w:pPr>
        <w:pStyle w:val="TextBody"/>
        <w:bidi w:val="0"/>
        <w:spacing w:before="213" w:after="283"/>
        <w:jc w:val="left"/>
        <w:rPr/>
      </w:pPr>
      <w:r>
        <w:rPr/>
      </w:r>
    </w:p>
    <w:p>
      <w:pPr>
        <w:pStyle w:val="TextBody"/>
        <w:bidi w:val="0"/>
        <w:spacing w:lineRule="auto" w:line="288" w:before="1" w:after="283"/>
        <w:jc w:val="center"/>
        <w:rPr>
          <w:rFonts w:ascii="Times New Roman;serif" w:hAnsi="Times New Roman;serif"/>
          <w:b/>
          <w:color w:val="000000"/>
          <w:sz w:val="22"/>
          <w:u w:val="single"/>
        </w:rPr>
      </w:pPr>
      <w:r>
        <w:rPr>
          <w:rFonts w:ascii="Times New Roman;serif" w:hAnsi="Times New Roman;serif"/>
          <w:b/>
          <w:color w:val="000000"/>
          <w:sz w:val="22"/>
          <w:u w:val="single"/>
        </w:rPr>
        <w:t>Schedule 1.1(a)</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Lenders, Revolving Credit Commitments and Revolving Credit Commitment Percentages</w:t>
      </w:r>
    </w:p>
    <w:p>
      <w:pPr>
        <w:pStyle w:val="TextBody"/>
        <w:bidi w:val="0"/>
        <w:spacing w:before="0" w:after="0"/>
        <w:jc w:val="left"/>
        <w:rPr/>
      </w:pPr>
      <w:r>
        <w:rPr/>
      </w:r>
    </w:p>
    <w:p>
      <w:pPr>
        <w:pStyle w:val="TextBody"/>
        <w:bidi w:val="0"/>
        <w:spacing w:before="0" w:after="0"/>
        <w:jc w:val="left"/>
        <w:rPr/>
      </w:pPr>
      <w:r>
        <w:rPr/>
      </w:r>
    </w:p>
    <w:p>
      <w:pPr>
        <w:pStyle w:val="TextBody"/>
        <w:bidi w:val="0"/>
        <w:spacing w:before="42" w:after="283"/>
        <w:jc w:val="left"/>
        <w:rPr/>
      </w:pPr>
      <w:r>
        <w:rPr/>
      </w:r>
    </w:p>
    <w:tbl>
      <w:tblPr>
        <w:tblW w:w="10205" w:type="dxa"/>
        <w:jc w:val="left"/>
        <w:tblInd w:w="0" w:type="dxa"/>
        <w:tblLayout w:type="fixed"/>
        <w:tblCellMar>
          <w:top w:w="28" w:type="dxa"/>
          <w:left w:w="28" w:type="dxa"/>
          <w:bottom w:w="28" w:type="dxa"/>
          <w:right w:w="28" w:type="dxa"/>
        </w:tblCellMar>
      </w:tblPr>
      <w:tblGrid>
        <w:gridCol w:w="1239"/>
        <w:gridCol w:w="1086"/>
        <w:gridCol w:w="1095"/>
        <w:gridCol w:w="928"/>
        <w:gridCol w:w="904"/>
        <w:gridCol w:w="907"/>
        <w:gridCol w:w="1181"/>
        <w:gridCol w:w="1181"/>
        <w:gridCol w:w="1684"/>
      </w:tblGrid>
      <w:tr>
        <w:trPr/>
        <w:tc>
          <w:tcPr>
            <w:tcW w:w="12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3"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Lender</w:t>
            </w:r>
          </w:p>
        </w:tc>
        <w:tc>
          <w:tcPr>
            <w:tcW w:w="2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2"/>
                <w:u w:val="single"/>
              </w:rPr>
              <w:t>Revolving Credit</w:t>
            </w:r>
            <w:r>
              <w:rPr>
                <w:color w:val="000000"/>
              </w:rPr>
              <w:t xml:space="preserve"> </w:t>
            </w:r>
            <w:r>
              <w:rPr>
                <w:rFonts w:ascii="Times New Roman;serif" w:hAnsi="Times New Roman;serif"/>
                <w:b w:val="false"/>
                <w:color w:val="000000"/>
                <w:sz w:val="22"/>
                <w:u w:val="single"/>
              </w:rPr>
              <w:t>Commitment</w:t>
            </w:r>
          </w:p>
        </w:tc>
        <w:tc>
          <w:tcPr>
            <w:tcW w:w="40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330"/>
              <w:jc w:val="left"/>
              <w:rPr/>
            </w:pPr>
            <w:r>
              <w:rPr>
                <w:rFonts w:ascii="Times New Roman;serif" w:hAnsi="Times New Roman;serif"/>
                <w:b w:val="false"/>
                <w:color w:val="000000"/>
                <w:sz w:val="22"/>
                <w:u w:val="single"/>
              </w:rPr>
              <w:t>Revolving Credit</w:t>
            </w:r>
            <w:r>
              <w:rPr>
                <w:color w:val="000000"/>
              </w:rPr>
              <w:t xml:space="preserve"> </w:t>
            </w:r>
            <w:r>
              <w:rPr>
                <w:rFonts w:ascii="Times New Roman;serif" w:hAnsi="Times New Roman;serif"/>
                <w:b w:val="false"/>
                <w:color w:val="000000"/>
                <w:sz w:val="22"/>
                <w:u w:val="single"/>
              </w:rPr>
              <w:t>Commitment Percentage</w:t>
            </w:r>
          </w:p>
        </w:tc>
      </w:tr>
      <w:tr>
        <w:trPr/>
        <w:tc>
          <w:tcPr>
            <w:tcW w:w="3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714"/>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tc>
        <w:tc>
          <w:tcPr>
            <w:tcW w:w="2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3" w:before="0" w:after="0"/>
              <w:jc w:val="center"/>
              <w:rPr>
                <w:rFonts w:ascii="Times New Roman;serif" w:hAnsi="Times New Roman;serif"/>
                <w:b w:val="false"/>
                <w:color w:val="000000"/>
                <w:sz w:val="22"/>
              </w:rPr>
            </w:pPr>
            <w:r>
              <w:rPr>
                <w:rFonts w:ascii="Times New Roman;serif" w:hAnsi="Times New Roman;serif"/>
                <w:b w:val="false"/>
                <w:color w:val="000000"/>
                <w:sz w:val="22"/>
              </w:rPr>
              <w:t>$35,000,000</w:t>
            </w:r>
          </w:p>
        </w:tc>
        <w:tc>
          <w:tcPr>
            <w:tcW w:w="40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53" w:before="0" w:after="0"/>
              <w:jc w:val="center"/>
              <w:rPr>
                <w:rFonts w:ascii="Times New Roman;serif" w:hAnsi="Times New Roman;serif"/>
                <w:b w:val="false"/>
                <w:color w:val="000000"/>
                <w:sz w:val="22"/>
              </w:rPr>
            </w:pPr>
            <w:r>
              <w:rPr>
                <w:rFonts w:ascii="Times New Roman;serif" w:hAnsi="Times New Roman;serif"/>
                <w:b w:val="false"/>
                <w:color w:val="000000"/>
                <w:sz w:val="22"/>
              </w:rPr>
              <w:t>100.00%</w:t>
            </w:r>
          </w:p>
        </w:tc>
      </w:tr>
      <w:tr>
        <w:trPr/>
        <w:tc>
          <w:tcPr>
            <w:tcW w:w="34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right"/>
              <w:rPr>
                <w:rFonts w:ascii="Times New Roman;serif" w:hAnsi="Times New Roman;serif"/>
                <w:b w:val="false"/>
                <w:color w:val="000000"/>
                <w:sz w:val="22"/>
              </w:rPr>
            </w:pPr>
            <w:r>
              <w:rPr>
                <w:rFonts w:ascii="Times New Roman;serif" w:hAnsi="Times New Roman;serif"/>
                <w:b w:val="false"/>
                <w:color w:val="000000"/>
                <w:sz w:val="22"/>
              </w:rPr>
              <w:t>Total:</w:t>
            </w:r>
          </w:p>
        </w:tc>
        <w:tc>
          <w:tcPr>
            <w:tcW w:w="27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Times New Roman;serif" w:hAnsi="Times New Roman;serif"/>
                <w:b w:val="false"/>
                <w:color w:val="000000"/>
                <w:sz w:val="22"/>
              </w:rPr>
            </w:pPr>
            <w:r>
              <w:rPr>
                <w:rFonts w:ascii="Times New Roman;serif" w:hAnsi="Times New Roman;serif"/>
                <w:b w:val="false"/>
                <w:color w:val="000000"/>
                <w:sz w:val="22"/>
              </w:rPr>
              <w:t>$35,000,000</w:t>
            </w:r>
          </w:p>
        </w:tc>
        <w:tc>
          <w:tcPr>
            <w:tcW w:w="404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 w:after="283"/>
              <w:jc w:val="center"/>
              <w:rPr>
                <w:rFonts w:ascii="Times New Roman;serif" w:hAnsi="Times New Roman;serif"/>
                <w:b w:val="false"/>
                <w:color w:val="000000"/>
                <w:sz w:val="22"/>
              </w:rPr>
            </w:pPr>
            <w:r>
              <w:rPr>
                <w:rFonts w:ascii="Times New Roman;serif" w:hAnsi="Times New Roman;serif"/>
                <w:b w:val="false"/>
                <w:color w:val="000000"/>
                <w:sz w:val="22"/>
              </w:rPr>
              <w:t>100.00%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right"/>
        <w:rPr/>
      </w:pPr>
      <w:r>
        <w:rPr>
          <w:rFonts w:ascii="Times New Roman;serif" w:hAnsi="Times New Roman;serif"/>
          <w:b w:val="false"/>
          <w:color w:val="FFFFFF"/>
          <w:sz w:val="20"/>
        </w:rPr>
        <w:t>41</w:t>
      </w:r>
      <w:r>
        <w:rPr>
          <w:rFonts w:ascii="Times New Roman;serif" w:hAnsi="Times New Roman;serif"/>
          <w:b/>
          <w:color w:val="000000"/>
          <w:sz w:val="20"/>
        </w:rPr>
        <w:t>Exhibit 31.1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Katherine H. Antonello,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Employers Holdings,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97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37"/>
        <w:gridCol w:w="937"/>
        <w:gridCol w:w="13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H. Antonello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H. Antonello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Michael A. Pedraja,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Employers Holdings,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21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01"/>
        <w:gridCol w:w="1301"/>
        <w:gridCol w:w="1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Form 10-Q of Employers Holdings, Inc. (the Company) for the quarter ended June 30, 2026,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97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37"/>
        <w:gridCol w:w="937"/>
        <w:gridCol w:w="13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H. Antonello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H. Antonello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Form 10-Q of Employers Holdings, Inc. (the Company) for the quarter ended June 30, 2026,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210"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01"/>
        <w:gridCol w:w="1301"/>
        <w:gridCol w:w="1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25889</Words>
  <Characters>141617</Characters>
  <CharactersWithSpaces>165840</CharactersWithSpaces>
  <Paragraphs>3910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