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EMPLOYERS HOLDINGS, INC.</w:t>
      </w:r>
    </w:p>
    <w:p>
      <w:pPr>
        <w:spacing w:after="0" w:line="25"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7680" w:type="dxa"/>
            <w:vAlign w:val="bottom"/>
          </w:tcPr>
          <w:p>
            <w:pPr>
              <w:jc w:val="center"/>
              <w:ind w:right="242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r>
      <w:tr>
        <w:trPr>
          <w:trHeight w:val="429"/>
        </w:trPr>
        <w:tc>
          <w:tcPr>
            <w:tcW w:w="2140" w:type="dxa"/>
            <w:vAlign w:val="bottom"/>
          </w:tcPr>
          <w:p>
            <w:pPr>
              <w:spacing w:after="0"/>
              <w:rPr>
                <w:sz w:val="24"/>
                <w:szCs w:val="24"/>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32"/>
                <w:szCs w:val="32"/>
                <w:b w:val="1"/>
                <w:bCs w:val="1"/>
                <w:color w:val="auto"/>
              </w:rPr>
              <w:t>——————</w:t>
            </w:r>
          </w:p>
        </w:tc>
      </w:tr>
      <w:tr>
        <w:trPr>
          <w:trHeight w:val="343"/>
        </w:trPr>
        <w:tc>
          <w:tcPr>
            <w:tcW w:w="2140" w:type="dxa"/>
            <w:vAlign w:val="bottom"/>
          </w:tcPr>
          <w:p>
            <w:pPr>
              <w:spacing w:after="0"/>
              <w:rPr>
                <w:sz w:val="24"/>
                <w:szCs w:val="24"/>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Nevada</w:t>
            </w:r>
          </w:p>
        </w:tc>
      </w:tr>
      <w:tr>
        <w:trPr>
          <w:trHeight w:val="234"/>
        </w:trPr>
        <w:tc>
          <w:tcPr>
            <w:tcW w:w="2140" w:type="dxa"/>
            <w:vAlign w:val="bottom"/>
          </w:tcPr>
          <w:p>
            <w:pPr>
              <w:spacing w:after="0"/>
              <w:rPr>
                <w:sz w:val="20"/>
                <w:szCs w:val="20"/>
                <w:color w:val="auto"/>
              </w:rPr>
            </w:pPr>
          </w:p>
        </w:tc>
        <w:tc>
          <w:tcPr>
            <w:tcW w:w="7680" w:type="dxa"/>
            <w:vAlign w:val="bottom"/>
          </w:tcPr>
          <w:p>
            <w:pPr>
              <w:jc w:val="center"/>
              <w:ind w:right="24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r>
      <w:tr>
        <w:trPr>
          <w:trHeight w:val="279"/>
        </w:trPr>
        <w:tc>
          <w:tcPr>
            <w:tcW w:w="21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001-33245</w:t>
            </w:r>
          </w:p>
        </w:tc>
        <w:tc>
          <w:tcPr>
            <w:tcW w:w="7680" w:type="dxa"/>
            <w:vAlign w:val="bottom"/>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04-3850065</w:t>
            </w:r>
          </w:p>
        </w:tc>
      </w:tr>
      <w:tr>
        <w:trPr>
          <w:trHeight w:val="234"/>
        </w:trPr>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7680" w:type="dxa"/>
            <w:vAlign w:val="bottom"/>
          </w:tcPr>
          <w:p>
            <w:pPr>
              <w:jc w:val="center"/>
              <w:ind w:left="496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2140" w:type="dxa"/>
            <w:vAlign w:val="bottom"/>
          </w:tcPr>
          <w:p>
            <w:pPr>
              <w:spacing w:after="0"/>
              <w:rPr>
                <w:sz w:val="23"/>
                <w:szCs w:val="23"/>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5340 Kietzke Lane, Suite 202</w:t>
            </w:r>
          </w:p>
        </w:tc>
      </w:tr>
      <w:tr>
        <w:trPr>
          <w:trHeight w:val="234"/>
        </w:trPr>
        <w:tc>
          <w:tcPr>
            <w:tcW w:w="2140" w:type="dxa"/>
            <w:vAlign w:val="bottom"/>
          </w:tcPr>
          <w:p>
            <w:pPr>
              <w:spacing w:after="0"/>
              <w:rPr>
                <w:sz w:val="20"/>
                <w:szCs w:val="20"/>
                <w:color w:val="auto"/>
              </w:rPr>
            </w:pPr>
          </w:p>
        </w:tc>
        <w:tc>
          <w:tcPr>
            <w:tcW w:w="76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Reno, Nevada</w:t>
            </w:r>
          </w:p>
        </w:tc>
      </w:tr>
      <w:tr>
        <w:trPr>
          <w:trHeight w:val="234"/>
        </w:trPr>
        <w:tc>
          <w:tcPr>
            <w:tcW w:w="2140" w:type="dxa"/>
            <w:vAlign w:val="bottom"/>
          </w:tcPr>
          <w:p>
            <w:pPr>
              <w:spacing w:after="0"/>
              <w:rPr>
                <w:sz w:val="20"/>
                <w:szCs w:val="20"/>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319"/>
        </w:trPr>
        <w:tc>
          <w:tcPr>
            <w:tcW w:w="2140" w:type="dxa"/>
            <w:vAlign w:val="bottom"/>
          </w:tcPr>
          <w:p>
            <w:pPr>
              <w:spacing w:after="0"/>
              <w:rPr>
                <w:sz w:val="24"/>
                <w:szCs w:val="24"/>
                <w:color w:val="auto"/>
              </w:rPr>
            </w:pPr>
          </w:p>
        </w:tc>
        <w:tc>
          <w:tcPr>
            <w:tcW w:w="7680" w:type="dxa"/>
            <w:vAlign w:val="bottom"/>
          </w:tcPr>
          <w:p>
            <w:pPr>
              <w:jc w:val="right"/>
              <w:ind w:right="4720"/>
              <w:spacing w:after="0"/>
              <w:rPr>
                <w:sz w:val="20"/>
                <w:szCs w:val="20"/>
                <w:color w:val="auto"/>
              </w:rPr>
            </w:pPr>
            <w:r>
              <w:rPr>
                <w:rFonts w:ascii="Times New Roman" w:cs="Times New Roman" w:eastAsia="Times New Roman" w:hAnsi="Times New Roman"/>
                <w:sz w:val="18"/>
                <w:szCs w:val="18"/>
                <w:b w:val="1"/>
                <w:bCs w:val="1"/>
                <w:color w:val="auto"/>
              </w:rPr>
              <w:t>89511</w:t>
            </w:r>
          </w:p>
        </w:tc>
      </w:tr>
      <w:tr>
        <w:trPr>
          <w:trHeight w:val="234"/>
        </w:trPr>
        <w:tc>
          <w:tcPr>
            <w:tcW w:w="2140" w:type="dxa"/>
            <w:vAlign w:val="bottom"/>
          </w:tcPr>
          <w:p>
            <w:pPr>
              <w:spacing w:after="0"/>
              <w:rPr>
                <w:sz w:val="20"/>
                <w:szCs w:val="20"/>
                <w:color w:val="auto"/>
              </w:rPr>
            </w:pPr>
          </w:p>
        </w:tc>
        <w:tc>
          <w:tcPr>
            <w:tcW w:w="7680" w:type="dxa"/>
            <w:vAlign w:val="bottom"/>
          </w:tcPr>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2140" w:type="dxa"/>
            <w:vAlign w:val="bottom"/>
          </w:tcPr>
          <w:p>
            <w:pPr>
              <w:spacing w:after="0"/>
              <w:rPr>
                <w:sz w:val="24"/>
                <w:szCs w:val="24"/>
                <w:color w:val="auto"/>
              </w:rPr>
            </w:pPr>
          </w:p>
        </w:tc>
        <w:tc>
          <w:tcPr>
            <w:tcW w:w="7680" w:type="dxa"/>
            <w:vAlign w:val="bottom"/>
          </w:tcPr>
          <w:p>
            <w:pPr>
              <w:jc w:val="center"/>
              <w:ind w:right="24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682-6671</w:t>
            </w:r>
          </w:p>
        </w:tc>
      </w:tr>
      <w:tr>
        <w:trPr>
          <w:trHeight w:val="256"/>
        </w:trPr>
        <w:tc>
          <w:tcPr>
            <w:tcW w:w="2140" w:type="dxa"/>
            <w:vAlign w:val="bottom"/>
          </w:tcPr>
          <w:p>
            <w:pPr>
              <w:spacing w:after="0"/>
              <w:rPr>
                <w:sz w:val="22"/>
                <w:szCs w:val="22"/>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No changes since last report</w:t>
            </w:r>
          </w:p>
        </w:tc>
      </w:tr>
      <w:tr>
        <w:trPr>
          <w:trHeight w:val="277"/>
        </w:trPr>
        <w:tc>
          <w:tcPr>
            <w:tcW w:w="2140" w:type="dxa"/>
            <w:vAlign w:val="bottom"/>
          </w:tcPr>
          <w:p>
            <w:pPr>
              <w:spacing w:after="0"/>
              <w:rPr>
                <w:sz w:val="24"/>
                <w:szCs w:val="24"/>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r>
      <w:tr>
        <w:trPr>
          <w:trHeight w:val="427"/>
        </w:trPr>
        <w:tc>
          <w:tcPr>
            <w:tcW w:w="2140" w:type="dxa"/>
            <w:vAlign w:val="bottom"/>
          </w:tcPr>
          <w:p>
            <w:pPr>
              <w:spacing w:after="0"/>
              <w:rPr>
                <w:sz w:val="24"/>
                <w:szCs w:val="24"/>
                <w:color w:val="auto"/>
              </w:rPr>
            </w:pPr>
          </w:p>
        </w:tc>
        <w:tc>
          <w:tcPr>
            <w:tcW w:w="7680" w:type="dxa"/>
            <w:vAlign w:val="bottom"/>
          </w:tcPr>
          <w:p>
            <w:pPr>
              <w:jc w:val="center"/>
              <w:ind w:right="2400"/>
              <w:spacing w:after="0"/>
              <w:rPr>
                <w:sz w:val="20"/>
                <w:szCs w:val="20"/>
                <w:color w:val="auto"/>
              </w:rPr>
            </w:pPr>
            <w:r>
              <w:rPr>
                <w:rFonts w:ascii="Times New Roman" w:cs="Times New Roman" w:eastAsia="Times New Roman" w:hAnsi="Times New Roman"/>
                <w:sz w:val="32"/>
                <w:szCs w:val="32"/>
                <w:b w:val="1"/>
                <w:bCs w:val="1"/>
                <w:color w:val="auto"/>
              </w:rPr>
              <w:t>——————</w:t>
            </w:r>
          </w:p>
        </w:tc>
      </w:tr>
    </w:tbl>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8"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EIG</w:t>
            </w:r>
          </w:p>
        </w:tc>
        <w:tc>
          <w:tcPr>
            <w:tcW w:w="100" w:type="dxa"/>
            <w:vAlign w:val="bottom"/>
          </w:tcPr>
          <w:p>
            <w:pPr>
              <w:spacing w:after="0"/>
              <w:rPr>
                <w:sz w:val="20"/>
                <w:szCs w:val="20"/>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Employers Holdings, Inc. (the "Company") held its 2026 annual meeting of stockholders on May 28, 2026, at 9:00 a.m., Pacific time, in Reno, Nevada (the "2026 Annual Meeting"). The matters that were voted upon at the 2026 Annual Meeting, and the number of votes cast for, against or withheld, as well as the number of abstentions and broker non-votes as to each such matter, where applicable,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2026 Annual Meeting, the Company’s stockholders (i) elected the Company’s nominees for director; (ii) approved, on an advisory (non-binding) basis, the compensation of the Company’s named executive officers; and (iii) ratified the appointment of Ernst &amp; Young LLP as the Company’s independent registered public accounting firm for the year ending December 31, 2026.</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Election of directors to serve until the 2027 Annual Meeting of Stockholders: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8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H. Antonello</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13,022,892</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3,279</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2,517</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3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de Figueiredo</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12,582,132</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443,729</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2,827</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29"/>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A. Higgins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12,590,818</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427,048</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2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McColgan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12,889,981</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135,880</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2,827</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3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Jeanne L. Mockard</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12,898,655</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127,516</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2,517</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2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Perez-Tenessa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12,891,246</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134,696</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2,746</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3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Marvin Pestcoe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12,883,462</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137,578</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7,648</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Sorenson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13,019,100</w:t>
            </w:r>
          </w:p>
        </w:tc>
        <w:tc>
          <w:tcPr>
            <w:tcW w:w="1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6,841</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2,747</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795,537</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color w:val="auto"/>
              </w:rPr>
              <w:t>2.  Approval, on an advisory (non-binding) basis, of the compensation of the Company’s named executive officers:</w:t>
            </w:r>
          </w:p>
        </w:tc>
        <w:tc>
          <w:tcPr>
            <w:tcW w:w="2720" w:type="dxa"/>
            <w:vAlign w:val="bottom"/>
          </w:tcPr>
          <w:p>
            <w:pPr>
              <w:spacing w:after="0"/>
              <w:rPr>
                <w:sz w:val="20"/>
                <w:szCs w:val="20"/>
                <w:color w:val="auto"/>
              </w:rPr>
            </w:pPr>
          </w:p>
        </w:tc>
      </w:tr>
      <w:tr>
        <w:trPr>
          <w:trHeight w:val="371"/>
        </w:trPr>
        <w:tc>
          <w:tcPr>
            <w:tcW w:w="40" w:type="dxa"/>
            <w:vAlign w:val="bottom"/>
          </w:tcPr>
          <w:p>
            <w:pPr>
              <w:spacing w:after="0"/>
              <w:rPr>
                <w:sz w:val="24"/>
                <w:szCs w:val="24"/>
                <w:color w:val="auto"/>
              </w:rPr>
            </w:pP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40" w:type="dxa"/>
            <w:vAlign w:val="bottom"/>
          </w:tcPr>
          <w:p>
            <w:pPr>
              <w:spacing w:after="0"/>
              <w:rPr>
                <w:sz w:val="19"/>
                <w:szCs w:val="19"/>
                <w:color w:val="auto"/>
              </w:rPr>
            </w:pPr>
          </w:p>
        </w:tc>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12,842,180</w:t>
            </w:r>
          </w:p>
        </w:tc>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180,661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795,537</w:t>
            </w:r>
          </w:p>
        </w:tc>
      </w:tr>
    </w:tbl>
    <w:p>
      <w:pPr>
        <w:spacing w:after="0" w:line="184" w:lineRule="exact"/>
        <w:rPr>
          <w:sz w:val="20"/>
          <w:szCs w:val="20"/>
          <w:color w:val="auto"/>
        </w:rPr>
      </w:pPr>
    </w:p>
    <w:p>
      <w:pPr>
        <w:ind w:left="660" w:right="100" w:hanging="652"/>
        <w:spacing w:after="0" w:line="282" w:lineRule="auto"/>
        <w:tabs>
          <w:tab w:leader="none" w:pos="3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year ending December 31, 2026:</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13,563,407</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260,799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EMPLOYERS HOLDINGS, INC.</w:t>
            </w:r>
          </w:p>
        </w:tc>
        <w:tc>
          <w:tcPr>
            <w:tcW w:w="5480" w:type="dxa"/>
            <w:vAlign w:val="bottom"/>
          </w:tcPr>
          <w:p>
            <w:pPr>
              <w:spacing w:after="0"/>
              <w:rPr>
                <w:sz w:val="19"/>
                <w:szCs w:val="19"/>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29, 2026</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 Pedraja</w:t>
            </w:r>
          </w:p>
        </w:tc>
      </w:tr>
      <w:tr>
        <w:trPr>
          <w:trHeight w:val="218"/>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Pedraja</w:t>
            </w:r>
          </w:p>
        </w:tc>
      </w:tr>
      <w:tr>
        <w:trPr>
          <w:trHeight w:val="229"/>
        </w:trPr>
        <w:tc>
          <w:tcPr>
            <w:tcW w:w="8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8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2026-05-29T17:52:35Z</dcterms:created>
  <dcterms:modified xsi:type="dcterms:W3CDTF">2026-05-29T17:52:35Z</dcterms:modified>
</cp:coreProperties>
</file>