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29,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EMPLOYERS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w:t>
      </w:r>
    </w:p>
    <w:tbl>
      <w:tblPr>
        <w:tblW w:w="7139" w:type="dxa"/>
        <w:jc w:val="center"/>
        <w:tblInd w:w="0" w:type="dxa"/>
        <w:tblLayout w:type="fixed"/>
        <w:tblCellMar>
          <w:top w:w="28" w:type="dxa"/>
          <w:left w:w="28" w:type="dxa"/>
          <w:bottom w:w="28" w:type="dxa"/>
          <w:right w:w="28" w:type="dxa"/>
        </w:tblCellMar>
      </w:tblPr>
      <w:tblGrid>
        <w:gridCol w:w="1106"/>
        <w:gridCol w:w="636"/>
        <w:gridCol w:w="568"/>
        <w:gridCol w:w="300"/>
        <w:gridCol w:w="300"/>
        <w:gridCol w:w="300"/>
        <w:gridCol w:w="300"/>
        <w:gridCol w:w="300"/>
        <w:gridCol w:w="300"/>
        <w:gridCol w:w="971"/>
        <w:gridCol w:w="971"/>
        <w:gridCol w:w="1087"/>
      </w:tblGrid>
      <w:tr>
        <w:trPr/>
        <w:tc>
          <w:tcPr>
            <w:tcW w:w="11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001-33245</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04-3850065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5340 Kietzke Lane, Suite 202</w:t>
            </w:r>
          </w:p>
        </w:tc>
      </w:tr>
      <w:tr>
        <w:trPr/>
        <w:tc>
          <w:tcPr>
            <w:tcW w:w="321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Reno,</w:t>
            </w:r>
          </w:p>
        </w:tc>
        <w:tc>
          <w:tcPr>
            <w:tcW w:w="39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r>
      <w:tr>
        <w:trPr/>
        <w:tc>
          <w:tcPr>
            <w:tcW w:w="71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89511</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(888) 682-6671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 change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29, 2026, Employers Holdings, Inc. (the “Company”) issued a press release and financial supplement announcing results for the quarter ended June 30, 2026. The press release and financial supplement are attached hereto as Exhibits 99.1 and 99.2, respectively, and are incorporated herein by reference, and are being furnished, not filed, under Item 2.02 to this Current Report on Form 8-K.</w:t>
      </w:r>
    </w:p>
    <w:p>
      <w:pPr>
        <w:pStyle w:val="TextBody"/>
        <w:bidi w:val="0"/>
        <w:spacing w:before="60" w:after="120"/>
        <w:jc w:val="left"/>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8 – Other Information</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29, 2026, the Company's Board of Directors (Board) declared a regular quarterly dividend of $0.34 per share on the Company’s common stock. The dividend is payable on August 26, 2026 to stockholders of record as of August 12, 2026.</w:t>
      </w:r>
    </w:p>
    <w:p>
      <w:pPr>
        <w:pStyle w:val="TextBody"/>
        <w:bidi w:val="0"/>
        <w:spacing w:before="60" w:after="120"/>
        <w:jc w:val="both"/>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99.1    Employers Holdings, Inc. press release, dated July 29,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99.2    Employers Holdings, Inc. financial supplement, dated July 29,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 the cover page XBRL tags are embedded within the Inline XBRL document</w:t>
      </w:r>
    </w:p>
    <w:p>
      <w:pPr>
        <w:pStyle w:val="TextBody"/>
        <w:bidi w:val="0"/>
        <w:spacing w:before="60" w:after="60"/>
        <w:jc w:val="left"/>
        <w:rPr/>
      </w:pPr>
      <w:r>
        <w:rPr/>
      </w:r>
    </w:p>
    <w:p>
      <w:pPr>
        <w:pStyle w:val="TextBody"/>
        <w:bidi w:val="0"/>
        <w:spacing w:before="60" w:after="120"/>
        <w:jc w:val="left"/>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120"/>
        <w:jc w:val="center"/>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8" w:type="dxa"/>
        <w:jc w:val="left"/>
        <w:tblInd w:w="0" w:type="dxa"/>
        <w:tblLayout w:type="fixed"/>
        <w:tblCellMar>
          <w:top w:w="28" w:type="dxa"/>
          <w:left w:w="28" w:type="dxa"/>
          <w:bottom w:w="28" w:type="dxa"/>
          <w:right w:w="28" w:type="dxa"/>
        </w:tblCellMar>
      </w:tblPr>
      <w:tblGrid>
        <w:gridCol w:w="507"/>
        <w:gridCol w:w="445"/>
        <w:gridCol w:w="445"/>
        <w:gridCol w:w="445"/>
        <w:gridCol w:w="445"/>
        <w:gridCol w:w="456"/>
        <w:gridCol w:w="655"/>
        <w:gridCol w:w="655"/>
        <w:gridCol w:w="925"/>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743"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EMPLOYERS HOLDINGS, INC.</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120"/>
        <w:jc w:val="center"/>
        <w:rPr/>
      </w:pPr>
      <w:r>
        <w:rPr/>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6779" w:type="dxa"/>
        <w:jc w:val="left"/>
        <w:tblInd w:w="0" w:type="dxa"/>
        <w:tblLayout w:type="fixed"/>
        <w:tblCellMar>
          <w:top w:w="28" w:type="dxa"/>
          <w:left w:w="28" w:type="dxa"/>
          <w:bottom w:w="28" w:type="dxa"/>
          <w:right w:w="28" w:type="dxa"/>
        </w:tblCellMar>
      </w:tblPr>
      <w:tblGrid>
        <w:gridCol w:w="385"/>
        <w:gridCol w:w="338"/>
        <w:gridCol w:w="341"/>
        <w:gridCol w:w="1479"/>
        <w:gridCol w:w="1479"/>
        <w:gridCol w:w="1497"/>
        <w:gridCol w:w="369"/>
        <w:gridCol w:w="369"/>
        <w:gridCol w:w="52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_pressreleasex6302026.htm">
              <w:r>
                <w:rPr>
                  <w:rStyle w:val="InternetLink"/>
                  <w:rFonts w:ascii="Times New Roman;serif" w:hAnsi="Times New Roman;serif"/>
                  <w:b w:val="false"/>
                  <w:color w:val="0000FF"/>
                  <w:sz w:val="20"/>
                  <w:u w:val="single"/>
                </w:rPr>
                <w:t>Employers Holdings, Inc. press release, dated</w:t>
              </w:r>
            </w:hyperlink>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_finsupplementx6302026.htm">
              <w:r>
                <w:rPr>
                  <w:rStyle w:val="InternetLink"/>
                  <w:rFonts w:ascii="Times New Roman;serif" w:hAnsi="Times New Roman;serif"/>
                  <w:b w:val="false"/>
                  <w:color w:val="0000FF"/>
                  <w:sz w:val="20"/>
                  <w:u w:val="single"/>
                </w:rPr>
                <w:t>Employers Holdings, Inc. financial supplement, dated</w:t>
              </w:r>
            </w:hyperlink>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drawing>
          <wp:inline distT="0" distB="0" distL="0" distR="0">
            <wp:extent cx="1905000" cy="438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905000" cy="438150"/>
                    </a:xfrm>
                    <a:prstGeom prst="rect">
                      <a:avLst/>
                    </a:prstGeom>
                  </pic:spPr>
                </pic:pic>
              </a:graphicData>
            </a:graphic>
          </wp:inline>
        </w:drawing>
      </w:r>
      <w:r>
        <w:rPr>
          <w:color w:val="000000"/>
        </w:rPr>
        <w:t xml:space="preserve"> </w:t>
      </w:r>
      <w:r>
        <w:rPr>
          <w:rFonts w:ascii="Times New Roman;serif" w:hAnsi="Times New Roman;serif"/>
          <w:b/>
          <w:color w:val="000000"/>
          <w:sz w:val="20"/>
        </w:rPr>
        <w:t>Exhibit 99.1</w:t>
      </w:r>
    </w:p>
    <w:p>
      <w:pPr>
        <w:pStyle w:val="TextBody"/>
        <w:bidi w:val="0"/>
        <w:spacing w:lineRule="auto" w:line="288" w:before="0" w:after="0"/>
        <w:jc w:val="right"/>
        <w:rPr>
          <w:rFonts w:ascii="Times New Roman;serif" w:hAnsi="Times New Roman;serif"/>
          <w:b w:val="false"/>
          <w:i/>
          <w:color w:val="000000"/>
          <w:sz w:val="22"/>
        </w:rPr>
      </w:pPr>
      <w:r>
        <w:rPr>
          <w:rFonts w:ascii="Times New Roman;serif" w:hAnsi="Times New Roman;serif"/>
          <w:b w:val="false"/>
          <w:i/>
          <w:color w:val="000000"/>
          <w:sz w:val="22"/>
        </w:rPr>
        <w:t>news release</w:t>
      </w:r>
    </w:p>
    <w:p>
      <w:pPr>
        <w:pStyle w:val="TextBody"/>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For Immediate Release</w:t>
      </w:r>
    </w:p>
    <w:p>
      <w:pPr>
        <w:pStyle w:val="TextBody"/>
        <w:bidi w:val="0"/>
        <w:spacing w:before="0" w:after="12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Employers Holdings, Inc. Reports Second Quarter 2026 Results; Earnings per Share grows 29% 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Declares Regular Quarterly Dividend of $0.34 per Share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Company to Host Conference Call on Thursday, July 30, 2026, at 11:00 a.m. Eastern Time</w:t>
      </w:r>
    </w:p>
    <w:p>
      <w:pPr>
        <w:pStyle w:val="TextBody"/>
        <w:bidi w:val="0"/>
        <w:spacing w:before="0" w:after="0"/>
        <w:jc w:val="center"/>
        <w:rPr/>
      </w:pPr>
      <w:r>
        <w:rPr/>
      </w:r>
    </w:p>
    <w:p>
      <w:pPr>
        <w:pStyle w:val="TextBody"/>
        <w:bidi w:val="0"/>
        <w:spacing w:lineRule="auto" w:line="288" w:before="60" w:after="283"/>
        <w:jc w:val="both"/>
        <w:rPr/>
      </w:pPr>
      <w:r>
        <w:rPr>
          <w:rFonts w:ascii="Times New Roman;serif" w:hAnsi="Times New Roman;serif"/>
          <w:b/>
          <w:color w:val="000000"/>
          <w:sz w:val="20"/>
        </w:rPr>
        <w:t>RENO, Nev., July 29, 2026 - (GLOBE NEWSWIRE) - Employers Holdings, Inc. (the “Company”) (NYSE:EIG),</w:t>
      </w:r>
      <w:r>
        <w:rPr>
          <w:color w:val="000000"/>
        </w:rPr>
        <w:t xml:space="preserve"> </w:t>
      </w:r>
      <w:r>
        <w:rPr>
          <w:rFonts w:ascii="Times New Roman;serif" w:hAnsi="Times New Roman;serif"/>
          <w:b w:val="false"/>
          <w:color w:val="000000"/>
          <w:sz w:val="20"/>
        </w:rPr>
        <w:t>a holding company with subsidiaries that are specialty providers of workers’ compensation insurance, excess workers’ compensation, and related services, today reported financial results for its second quarter ended June 30, 2026.</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417" w:before="0" w:after="60"/>
        <w:jc w:val="left"/>
        <w:rPr>
          <w:rFonts w:ascii="Times New Roman;serif" w:hAnsi="Times New Roman;serif"/>
          <w:b w:val="false"/>
          <w:color w:val="000000"/>
          <w:sz w:val="16"/>
        </w:rPr>
      </w:pPr>
      <w:r>
        <w:rPr>
          <w:rFonts w:ascii="Times New Roman;serif" w:hAnsi="Times New Roman;serif"/>
          <w:b w:val="false"/>
          <w:color w:val="000000"/>
          <w:sz w:val="16"/>
        </w:rPr>
        <w:t>(All comparisons versus second quarter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Net income of $29.1 million ($1.59 per diluted share), versus $29.7 million ($1.23 per diluted share);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net income of $12.8 million ($0.70 per diluted share), versus $11.5 million ($0.48 per diluted share);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Gross premiums written of $163.4 million, versus $203.3 million;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Net premiums earned of $174.1 million, versus $198.3 million;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Loss and LAE ratio decreased to 70.2% from 70.7%;</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Commission expense ratio improved to 12.8% from 13.2%;</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Underwriting expense ratio increased to 22.8% from 21.7%;</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GAAP combined ratio of 105.8% (106.7% excluding the LPT), versus 105.6% (106.4% excluding the LPT);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Net investment income increased to $27.4 million from $27.1 million;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Net realized and unrealized gains on investments of $18.7 million, versus $20.9 million;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Policies in-force of 127,601, versus 134,421;</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Book value per share including the Deferred Gain of $52.58, an increase of 9.0%, and Adjusted book value per share of $53.26, up 5.6% (both growth rates include dividends declared);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Returned $34.0 million to stockholders through a combination of share repurchases and regular quarterly dividends.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CEO Commentary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Chief Executive Officer Katherine Antonello commented: “This was another quarter defined by discipline, and the results of that discipline are becoming visible where it matters most, in our per-share results. Diluted earnings per share grew 29% year-over-year and adjusted earnings per share grew 46%, even as net income was essentially flat. These results reflect the accretive impact of our recapitalization strategy and the share repurchases we have executed as a part of it.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net premiums earned were $174.1 million, a decline of 12%, reflecting the pricing and underwriting actions we have undertaken to prioritize profitability over volume. Policies in-force declined 5% year-over-year, a notably smaller reduction than the decline in premium, reflecting our deliberate shift toward our core small business segment. Our loss and LAE ratio improved to 70.2% from 70.7% and our second quarter full actuarial review confirmed no prior period development on our voluntary business — both results consistent with our expectations and the underwriting discipline we have maintained. Our underwriting expenses declined $3.4 million year-over-year, though the expense ratio increased slightly given the smaller premium base it is measured against.”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Ms. Antonello continued, “Our investment portfolio delivered net investment income of $27.4 million, with a book yield of 4.9% — a 40 basis-point increase from the prior year — reflecting the benefits of our 2025 investment rebalancing.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remain focused on prudent capital management. We returned $34.0 million to shareholders during the quarter through $6.3 million in dividends and $27.7 million in share repurchases. Book value per share, including the Deferred Gain, grew 9.0% year-over-year, and adjusted book value per share grew 5.6%, a tangible measure of the value we continue to build.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we look ahead, profitable growth remains our north star, and diversifying our workers' compensation product offering is a meaningful part of how we get there. In June, we began writing excess workers' compensation, marking the successful launch of a new product line. We are excited about the opportunities ahead.”</w:t>
      </w:r>
    </w:p>
    <w:p>
      <w:pPr>
        <w:pStyle w:val="TextBody"/>
        <w:bidi w:val="0"/>
        <w:spacing w:lineRule="auto" w:line="288" w:before="60" w:after="120"/>
        <w:jc w:val="both"/>
        <w:rPr/>
      </w:pPr>
      <w:r>
        <w:rPr>
          <w:rFonts w:ascii="Times New Roman;serif" w:hAnsi="Times New Roman;serif"/>
          <w:b/>
          <w:color w:val="000000"/>
          <w:sz w:val="20"/>
        </w:rPr>
        <w:t>Summary of Consolidated</w:t>
      </w:r>
      <w:r>
        <w:rPr>
          <w:color w:val="000000"/>
        </w:rPr>
        <w:t xml:space="preserve"> </w:t>
      </w:r>
      <w:r>
        <w:rPr>
          <w:rFonts w:ascii="Times New Roman;serif" w:hAnsi="Times New Roman;serif"/>
          <w:b/>
          <w:color w:val="000000"/>
          <w:sz w:val="20"/>
        </w:rPr>
        <w:t>Second Quarter 2026 Results</w:t>
      </w:r>
    </w:p>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(All comparisons versus second quarter 2025, unless otherwise noted)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Gross premiums written were $163.4 million, a decrease of 19.6%, reflecting the deliberate pricing and underwriting actions commenced in 2025 to prioritize profitability over volume. These actions reduced new and renewal business premiums in the quarter, partially offset by an increase in our final audit premium accrual and a $2.5 million premium restitution from a former policyholder. The premium restitution also favorably impacted our second quarter combined ratio by approximately 150 basis points.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Losses and LAE were $122.3 million, a decrease of 12.7%, due primarily to lower earned premiums. The Company's current accident year loss and LAE ratio excluding LPT related to our voluntary business was 72.0%, consistent with the same ratio recorded for accident year 2025. Additionally, no prior year loss reserve development was recognized on our voluntary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Commission expense was $22.2 million, a decrease of 14.9%. The Company’s commission expense ratio was 12.8%, compared to 13.2% a year ago. The decrease in commission expense and ratio was primarily driven by lower agency incentive accruals and a reduced proportion of new business premiums written.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Underwriting expenses were $39.7 million, a decrease of 7.9%. The Company’s underwriting expense ratio was 22.8%, compared to 21.7% a year ago. The decrease in our underwriting expenses was primarily driven by reduced policyholder dividends, bad debt, and compensation-related expenses. The increase in underwriting expense ratio was due to the decrease in premiums earned.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investment income was $27.4 million, an increase of 1.1%. The increase was primarily attributable to higher yields on fixed maturity securities resulting from our investment rebalancing activity in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 reflected on the income statement were $18.7 million compared to $20.9 million a year ago. The results from both periods were driven primarily by net gains in our equity investments.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financing expenses were $1.3 million versus less than $0.1 million a year ago. The increase in interest expense relates to the Company’s issuance of $125.0 million in senior debt associated with the recapitalization plan announced in the fourth quarter of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Federal and state income tax expense was $5.6 million (16.1% effective rate), compared to $7.3 million (19.7% effective rate) a year ago. The effective rates in each period reflect applicable income tax benefits and exclusions associated with tax-advantaged investment income, LPT adjustments, an income adjustment related to the Company's predecessor organization, the Nevada State Industrial Insurance System, deferred gain amortization, and tax credits utilized.</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Third Quarter 2026 Dividend Declaration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July 29, 2026, the Company’s Board of Directors declared a regular quarterly dividend of $0.34 per share. The dividend is payable on August 26, 2026 to stockholders of record as of August 12, 2026.</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Stock Repurchases</w:t>
      </w:r>
    </w:p>
    <w:p>
      <w:pPr>
        <w:pStyle w:val="TextBody"/>
        <w:bidi w:val="0"/>
        <w:spacing w:lineRule="auto" w:line="288" w:before="60" w:after="120"/>
        <w:jc w:val="both"/>
        <w:rPr/>
      </w:pPr>
      <w:r>
        <w:rPr>
          <w:rFonts w:ascii="Times New Roman;serif" w:hAnsi="Times New Roman;serif"/>
          <w:b w:val="false"/>
          <w:color w:val="000000"/>
          <w:sz w:val="20"/>
        </w:rPr>
        <w:t>During the second quarter of 2026, the Company repurchased 651,752 shares of its common stock at an a</w:t>
      </w:r>
      <w:r>
        <w:rPr>
          <w:rFonts w:ascii="Times New Roman;serif" w:hAnsi="Times New Roman;serif"/>
          <w:b w:val="false"/>
          <w:color w:val="000000"/>
          <w:sz w:val="20"/>
          <w:shd w:fill="FFFFFF" w:val="clear"/>
        </w:rPr>
        <w:t xml:space="preserve">verage price of $42.43 per share. </w:t>
      </w:r>
      <w:r>
        <w:rPr>
          <w:rFonts w:ascii="Times New Roman;serif" w:hAnsi="Times New Roman;serif"/>
          <w:b w:val="false"/>
          <w:color w:val="000000"/>
          <w:sz w:val="20"/>
        </w:rPr>
        <w:t>The Company has $113.0 million of repurchase authorization remaining under the 2026 Program.</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 xml:space="preserve">Earnings Conference Call and Webcast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host a conference call on Thursday, July 30, 2026, at 11:00 a.m. Eastern Time / 8:00 a.m. Pacific Time. </w:t>
      </w:r>
    </w:p>
    <w:p>
      <w:pPr>
        <w:pStyle w:val="TextBody"/>
        <w:bidi w:val="0"/>
        <w:spacing w:lineRule="auto" w:line="288" w:before="60" w:after="120"/>
        <w:jc w:val="left"/>
        <w:rPr/>
      </w:pPr>
      <w:r>
        <w:rPr>
          <w:rFonts w:ascii="Times New Roman;serif" w:hAnsi="Times New Roman;serif"/>
          <w:b w:val="false"/>
          <w:color w:val="000000"/>
          <w:sz w:val="20"/>
        </w:rPr>
        <w:t>To participate in the live conference call, you must first register</w:t>
      </w:r>
      <w:r>
        <w:rPr>
          <w:color w:val="0000FF"/>
        </w:rPr>
        <w:t xml:space="preserve"> </w:t>
      </w:r>
      <w:r>
        <w:rPr>
          <w:rFonts w:ascii="Times New Roman;serif" w:hAnsi="Times New Roman;serif"/>
          <w:b w:val="false"/>
          <w:color w:val="0000FF"/>
          <w:sz w:val="20"/>
          <w:u w:val="single"/>
        </w:rPr>
        <w:t>here</w:t>
      </w:r>
      <w:r>
        <w:rPr>
          <w:rFonts w:ascii="Times New Roman;serif" w:hAnsi="Times New Roman;serif"/>
          <w:b w:val="false"/>
          <w:color w:val="000000"/>
          <w:sz w:val="20"/>
        </w:rPr>
        <w:t>. Once registered you will receive dial-in numbers and a unique PIN number.</w:t>
      </w:r>
    </w:p>
    <w:p>
      <w:pPr>
        <w:pStyle w:val="TextBody"/>
        <w:bidi w:val="0"/>
        <w:spacing w:lineRule="auto" w:line="288" w:before="60" w:after="240"/>
        <w:jc w:val="both"/>
        <w:rPr/>
      </w:pPr>
      <w:r>
        <w:rPr>
          <w:rFonts w:ascii="Times New Roman;serif" w:hAnsi="Times New Roman;serif"/>
          <w:b w:val="false"/>
          <w:color w:val="000000"/>
          <w:sz w:val="20"/>
        </w:rPr>
        <w:t xml:space="preserve">The webcast will be accessible on the Company’s website at </w:t>
      </w:r>
      <w:r>
        <w:rPr>
          <w:rFonts w:ascii="Times New Roman;serif" w:hAnsi="Times New Roman;serif"/>
          <w:b w:val="false"/>
          <w:color w:val="0000FF"/>
          <w:sz w:val="20"/>
          <w:u w:val="single"/>
        </w:rPr>
        <w:t>www.employers.com</w:t>
      </w:r>
      <w:r>
        <w:rPr>
          <w:color w:val="000000"/>
        </w:rPr>
        <w:t xml:space="preserve"> </w:t>
      </w:r>
      <w:r>
        <w:rPr>
          <w:rFonts w:ascii="Times New Roman;serif" w:hAnsi="Times New Roman;serif"/>
          <w:b w:val="false"/>
          <w:color w:val="000000"/>
          <w:sz w:val="20"/>
        </w:rPr>
        <w:t>through the “</w:t>
      </w:r>
      <w:r>
        <w:rPr>
          <w:rFonts w:ascii="Times New Roman;serif" w:hAnsi="Times New Roman;serif"/>
          <w:b w:val="false"/>
          <w:i/>
          <w:color w:val="0000FF"/>
          <w:sz w:val="20"/>
          <w:u w:val="single"/>
        </w:rPr>
        <w:t>Investors</w:t>
      </w:r>
      <w:r>
        <w:rPr>
          <w:color w:val="000000"/>
        </w:rPr>
        <w:t>”</w:t>
      </w:r>
      <w:r>
        <w:rPr>
          <w:color w:val="0000FF"/>
        </w:rPr>
        <w:t xml:space="preserve"> </w:t>
      </w:r>
      <w:r>
        <w:rPr>
          <w:rFonts w:ascii="Times New Roman;serif" w:hAnsi="Times New Roman;serif"/>
          <w:b w:val="false"/>
          <w:color w:val="000000"/>
          <w:sz w:val="20"/>
        </w:rPr>
        <w:t>link.</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Reconciliation of Non-GAAP Financial Measures to GAAP</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Within this earnings release we present various financial measures, some of which are “non-GAAP financial measures” as defined in Regulation G pursuant to Section 401 of the Sarbanes-Oxley Act of 2002. A description of these non-GAAP financial measures, as well as a reconciliation of such non-GAAP measures to our most directly comparable GAAP financial measures is included in the attached Financial Supplement. Management believes that these non-GAAP measures are important to the Company’s investors, analysts and other interested parties who benefit from having an objective and consistent basis for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comparison with other companies within our industry. Management further believes that these measures are more relevant than comparable GAAP measures in evaluating our financial performance.</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press release should be read in conjunction with the Financial Supplement that is attached to this press release and available on our website.</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In this press release, the Company and its management discuss and make statements based on currently available information regarding their intentions, beliefs, current expectations, and projections of, among other things, the Company’s future performance, economic or market conditions, including current or future levels of inflation, potential implications of increased tariffs, changes in interest rates, labor market expectations, catastrophic events or geo-political conditions, legislative or regulatory actions or court decisions, business growth, retention rates, loss costs, claim trends and the impact of key business initiatives, future technologies and planned investments. Certain of these statements may constitute “forward-looking” statements as that term is defined in the Private Securities Litigation Reform Act of 1995. Forward-looking statements can be identified by the fact that they do not relate strictly to historical or current facts and are often identified by words such as “may,” “will,” “could,” “would,” “should,” “expect,” “plan,” “anticipate,” “target,” “project,” “intend,” “believe,” “estimate,” “predict,” “potential,” “pro forma,” “seek,” “likely,” or “continue,” or other comparable terminology and their negatives. The Company and its management caution investors that such forward-looking statements are not guarantees of future performance. Risks and uncertainties are inherent in the Company’s future performance. Factors that could cause the Company’s actual results to differ materially from those indicated by such forward-looking statements include, among other things, those discussed or identified from time to time in the Company’s public filings with the Securities and Exchange Commission (SEC), including the risks detailed in the Company’s Quarterly Reports on Form 10-Q and the Company’s Annual Reports on Form 10-K. Except as required by applicable securities laws, the Company undertakes no obligation to publicly update or revise any forward-looking statements, whether as a result of new information, future events, or otherwise.</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Filings with the SEC</w:t>
      </w:r>
    </w:p>
    <w:p>
      <w:pPr>
        <w:pStyle w:val="TextBody"/>
        <w:bidi w:val="0"/>
        <w:spacing w:lineRule="auto" w:line="288" w:before="60" w:after="240"/>
        <w:jc w:val="both"/>
        <w:rPr/>
      </w:pPr>
      <w:r>
        <w:rPr>
          <w:rFonts w:ascii="Times New Roman;serif" w:hAnsi="Times New Roman;serif"/>
          <w:b w:val="false"/>
          <w:color w:val="000000"/>
          <w:sz w:val="20"/>
        </w:rPr>
        <w:t>The Company’s filings with the SEC and its quarterly investor presentations can be accessed through the “</w:t>
      </w:r>
      <w:r>
        <w:rPr>
          <w:rFonts w:ascii="Times New Roman;serif" w:hAnsi="Times New Roman;serif"/>
          <w:b w:val="false"/>
          <w:i/>
          <w:color w:val="0000FF"/>
          <w:sz w:val="20"/>
          <w:u w:val="single"/>
        </w:rPr>
        <w:t>Investors</w:t>
      </w:r>
      <w:r>
        <w:rPr>
          <w:color w:val="000000"/>
        </w:rPr>
        <w:t xml:space="preserve">” </w:t>
      </w:r>
      <w:r>
        <w:rPr>
          <w:rFonts w:ascii="Times New Roman;serif" w:hAnsi="Times New Roman;serif"/>
          <w:b w:val="false"/>
          <w:color w:val="000000"/>
          <w:sz w:val="20"/>
        </w:rPr>
        <w:t xml:space="preserve">link on the Company’s website, </w:t>
      </w:r>
      <w:r>
        <w:rPr>
          <w:rFonts w:ascii="Times New Roman;serif" w:hAnsi="Times New Roman;serif"/>
          <w:b w:val="false"/>
          <w:i/>
          <w:color w:val="0000FF"/>
          <w:sz w:val="20"/>
          <w:u w:val="single"/>
        </w:rPr>
        <w:t>www.employers.com</w:t>
      </w:r>
      <w:r>
        <w:rPr>
          <w:rFonts w:ascii="Times New Roman;serif" w:hAnsi="Times New Roman;serif"/>
          <w:b w:val="false"/>
          <w:color w:val="000000"/>
          <w:sz w:val="20"/>
        </w:rPr>
        <w:t xml:space="preserve">. The Company’s filings with the SEC can also be accessed through the SEC's EDGAR Database at </w:t>
      </w:r>
      <w:r>
        <w:rPr>
          <w:rFonts w:ascii="Times New Roman;serif" w:hAnsi="Times New Roman;serif"/>
          <w:b w:val="false"/>
          <w:i/>
          <w:color w:val="0000FF"/>
          <w:sz w:val="20"/>
          <w:u w:val="single"/>
        </w:rPr>
        <w:t>www.sec.gov</w:t>
      </w:r>
      <w:r>
        <w:rPr>
          <w:color w:val="000000"/>
        </w:rPr>
        <w:t xml:space="preserve"> </w:t>
      </w:r>
      <w:r>
        <w:rPr>
          <w:rFonts w:ascii="Times New Roman;serif" w:hAnsi="Times New Roman;serif"/>
          <w:b w:val="false"/>
          <w:color w:val="000000"/>
          <w:sz w:val="20"/>
        </w:rPr>
        <w:t xml:space="preserve">(EDGAR CIK No. 0001379041). </w:t>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About Employers Holdings, Inc.</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Employers Holdings, Inc. (NYSE: EIG), is a holding company with subsidiaries that are specialty providers of workers’ compensation insurance, excess workers’ compensation, and related services (collectively “EMPLOYERS®”) focused on small and mid-sized businesses engaged in lower hazard industries with its guaranteed cost product and self-insured enterprises with its excess workers’ compensation product. EMPLOYERS leverages over a century of experience to deliver comprehensive coverage solutions that meet the unique needs of its customers. Drawing from its long history and extensive knowledge, EMPLOYERS empowers businesses by protecting their most valuable asset – their employees – through exceptional claims management, loss control, and risk management services, to help businesses create safer work environments.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EMPLOYERS is also proud to offer Cerity®, which is focused on providing digital-first, direct-to-consumer workers’ compensation insurance solutions with fast and affordable coverage options through a user-friendly online platform.</w:t>
      </w:r>
    </w:p>
    <w:p>
      <w:pPr>
        <w:pStyle w:val="TextBody"/>
        <w:bidi w:val="0"/>
        <w:spacing w:lineRule="auto" w:line="288" w:before="60" w:after="120"/>
        <w:jc w:val="both"/>
        <w:rPr/>
      </w:pPr>
      <w:r>
        <w:rPr>
          <w:rFonts w:ascii="Times New Roman;serif" w:hAnsi="Times New Roman;serif"/>
          <w:b w:val="false"/>
          <w:color w:val="000000"/>
          <w:sz w:val="20"/>
        </w:rPr>
        <w:t xml:space="preserve">EMPLOYERS operates throughout the United States, apart from four states that are served exclusively by their state funds. Workers’ Compensation insurance is offered through Employers Insurance Company of Nevada, Employers Compensation Insurance Company, Employers Preferred Insurance Company, Employers Assurance Company and Cerity Insurance Company, and Excess Workers’ Compensation is offered through Employers Assurance Company. Each of EMPLOYERS insurance subsidiaries is rated A (Excellent) by AM Best. Not all companies do business in all jurisdictions. EIG Services, Inc., and Cerity Services, Inc., are subsidiaries of Employers Holdings, Inc. EMPLOYERS® is a registered trademark of EIG Services, Inc., and Cerity® is a registered trademark of Cerity Services, Inc. For more information, please visit </w:t>
      </w:r>
      <w:r>
        <w:rPr>
          <w:rFonts w:ascii="Times New Roman;serif" w:hAnsi="Times New Roman;serif"/>
          <w:b w:val="false"/>
          <w:color w:val="0000FF"/>
          <w:sz w:val="20"/>
          <w:u w:val="single"/>
        </w:rPr>
        <w:t>www.employers.com</w:t>
      </w:r>
      <w:r>
        <w:rPr>
          <w:rFonts w:ascii="Times New Roman;serif" w:hAnsi="Times New Roman;serif"/>
          <w:b w:val="false"/>
          <w:color w:val="0000FF"/>
          <w:sz w:val="20"/>
        </w:rPr>
        <w:t xml:space="preserve">, </w:t>
      </w:r>
      <w:r>
        <w:rPr>
          <w:rFonts w:ascii="Times New Roman;serif" w:hAnsi="Times New Roman;serif"/>
          <w:b w:val="false"/>
          <w:color w:val="0000FF"/>
          <w:sz w:val="20"/>
          <w:u w:val="single"/>
        </w:rPr>
        <w:t>www.employers.com/excess-workers-compensation</w:t>
      </w:r>
      <w:r>
        <w:rPr>
          <w:color w:val="0000FF"/>
        </w:rPr>
        <w:t xml:space="preserve"> </w:t>
      </w:r>
      <w:r>
        <w:rPr>
          <w:rFonts w:ascii="Times New Roman;serif" w:hAnsi="Times New Roman;serif"/>
          <w:b w:val="false"/>
          <w:color w:val="000000"/>
          <w:sz w:val="20"/>
        </w:rPr>
        <w:t xml:space="preserve">and </w:t>
      </w:r>
      <w:r>
        <w:rPr>
          <w:rFonts w:ascii="Times New Roman;serif" w:hAnsi="Times New Roman;serif"/>
          <w:b w:val="false"/>
          <w:color w:val="0000FF"/>
          <w:sz w:val="20"/>
          <w:u w:val="single"/>
        </w:rPr>
        <w:t>www.cerity.com</w:t>
      </w:r>
      <w:r>
        <w:rPr>
          <w:rFonts w:ascii="Times New Roman;serif" w:hAnsi="Times New Roman;serif"/>
          <w:b w:val="false"/>
          <w:color w:val="000000"/>
          <w:sz w:val="20"/>
        </w:rPr>
        <w:t>.</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60" w:after="120"/>
        <w:jc w:val="left"/>
        <w:rPr/>
      </w:pPr>
      <w:r>
        <w:rPr>
          <w:rFonts w:ascii="Times New Roman;serif" w:hAnsi="Times New Roman;serif"/>
          <w:b w:val="false"/>
          <w:color w:val="000000"/>
          <w:sz w:val="20"/>
        </w:rPr>
        <w:t xml:space="preserve">Michael Pedraja (775) 327-2706 or </w:t>
      </w:r>
      <w:r>
        <w:rPr>
          <w:rFonts w:ascii="Times New Roman;serif" w:hAnsi="Times New Roman;serif"/>
          <w:b w:val="false"/>
          <w:color w:val="0563C1"/>
          <w:sz w:val="20"/>
          <w:u w:val="single"/>
        </w:rPr>
        <w:t>mpedraja@employers.com</w:t>
      </w:r>
    </w:p>
    <w:p>
      <w:pPr>
        <w:pStyle w:val="TextBody"/>
        <w:bidi w:val="0"/>
        <w:spacing w:before="6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214D"/>
          <w:sz w:val="40"/>
        </w:rPr>
      </w:pPr>
      <w:r>
        <w:rPr>
          <w:rFonts w:ascii="Times New Roman;serif" w:hAnsi="Times New Roman;serif"/>
          <w:b/>
          <w:color w:val="00214D"/>
          <w:sz w:val="40"/>
        </w:rPr>
        <w:t>Employers Holdings, Inc.</w:t>
      </w:r>
    </w:p>
    <w:p>
      <w:pPr>
        <w:pStyle w:val="TextBody"/>
        <w:bidi w:val="0"/>
        <w:spacing w:lineRule="auto" w:line="288" w:before="0" w:after="60"/>
        <w:jc w:val="left"/>
        <w:rPr>
          <w:rFonts w:ascii="Times New Roman;serif" w:hAnsi="Times New Roman;serif"/>
          <w:b w:val="false"/>
          <w:color w:val="00214D"/>
          <w:sz w:val="40"/>
        </w:rPr>
      </w:pPr>
      <w:r>
        <w:rPr>
          <w:rFonts w:ascii="Times New Roman;serif" w:hAnsi="Times New Roman;serif"/>
          <w:b w:val="false"/>
          <w:color w:val="00214D"/>
          <w:sz w:val="40"/>
        </w:rPr>
        <w:t xml:space="preserve">Second Quarter 2026 </w:t>
      </w:r>
    </w:p>
    <w:p>
      <w:pPr>
        <w:pStyle w:val="TextBody"/>
        <w:bidi w:val="0"/>
        <w:spacing w:lineRule="auto" w:line="288" w:before="0" w:after="60"/>
        <w:jc w:val="left"/>
        <w:rPr>
          <w:rFonts w:ascii="Times New Roman;serif" w:hAnsi="Times New Roman;serif"/>
          <w:b w:val="false"/>
          <w:color w:val="00214D"/>
          <w:sz w:val="40"/>
        </w:rPr>
      </w:pPr>
      <w:r>
        <w:rPr>
          <w:rFonts w:ascii="Times New Roman;serif" w:hAnsi="Times New Roman;serif"/>
          <w:b w:val="false"/>
          <w:color w:val="00214D"/>
          <w:sz w:val="40"/>
        </w:rPr>
        <w:t>Financial Supplement</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right"/>
        <w:rPr/>
      </w:pPr>
      <w:r>
        <w:rPr/>
      </w:r>
    </w:p>
    <w:p>
      <w:pPr>
        <w:pStyle w:val="TextBody"/>
        <w:bidi w:val="0"/>
        <w:spacing w:before="0" w:after="60"/>
        <w:jc w:val="right"/>
        <w:rPr/>
      </w:pPr>
      <w:r>
        <w:rPr/>
      </w:r>
    </w:p>
    <w:p>
      <w:pPr>
        <w:pStyle w:val="TextBody"/>
        <w:bidi w:val="0"/>
        <w:spacing w:before="0" w:after="60"/>
        <w:jc w:val="right"/>
        <w:rPr/>
      </w:pPr>
      <w:r>
        <w:rPr/>
      </w:r>
    </w:p>
    <w:p>
      <w:pPr>
        <w:pStyle w:val="TextBody"/>
        <w:bidi w:val="0"/>
        <w:spacing w:before="0" w:after="60"/>
        <w:jc w:val="right"/>
        <w:rPr/>
      </w:pPr>
      <w:r>
        <w:rPr/>
      </w:r>
    </w:p>
    <w:p>
      <w:pPr>
        <w:pStyle w:val="TextBody"/>
        <w:bidi w:val="0"/>
        <w:spacing w:lineRule="auto" w:line="288" w:before="0" w:after="60"/>
        <w:jc w:val="right"/>
        <w:rPr/>
      </w:pPr>
      <w:r>
        <w:rPr/>
        <w:drawing>
          <wp:inline distT="0" distB="0" distL="0" distR="0">
            <wp:extent cx="2857500" cy="6572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857500" cy="657225"/>
                    </a:xfrm>
                    <a:prstGeom prst="rect">
                      <a:avLst/>
                    </a:prstGeom>
                  </pic:spPr>
                </pic:pic>
              </a:graphicData>
            </a:graphic>
          </wp:inline>
        </w:drawing>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EMPLOYERS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98"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1063"/>
        <w:gridCol w:w="1063"/>
        <w:gridCol w:w="150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10">
              <w:r>
                <w:rPr>
                  <w:rStyle w:val="InternetLink"/>
                  <w:rFonts w:ascii="Times New Roman;serif" w:hAnsi="Times New Roman;serif"/>
                  <w:b/>
                  <w:color w:val="0000FF"/>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Highlights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13">
              <w:r>
                <w:rPr>
                  <w:rStyle w:val="InternetLink"/>
                  <w:rFonts w:ascii="Times New Roman;serif" w:hAnsi="Times New Roman;serif"/>
                  <w:b/>
                  <w:color w:val="0000FF"/>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Consolidated Balance Sheets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16">
              <w:r>
                <w:rPr>
                  <w:rStyle w:val="InternetLink"/>
                  <w:rFonts w:ascii="Times New Roman;serif" w:hAnsi="Times New Roman;serif"/>
                  <w:b/>
                  <w:color w:val="0000FF"/>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Consolidated Income Statements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19">
              <w:r>
                <w:rPr>
                  <w:rStyle w:val="InternetLink"/>
                  <w:rFonts w:ascii="Times New Roman;serif" w:hAnsi="Times New Roman;serif"/>
                  <w:b/>
                  <w:color w:val="0000FF"/>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on Equity</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22">
              <w:r>
                <w:rPr>
                  <w:rStyle w:val="InternetLink"/>
                  <w:rFonts w:ascii="Times New Roman;serif" w:hAnsi="Times New Roman;serif"/>
                  <w:b/>
                  <w:color w:val="0000FF"/>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25">
              <w:r>
                <w:rPr>
                  <w:rStyle w:val="InternetLink"/>
                  <w:rFonts w:ascii="Times New Roman;serif" w:hAnsi="Times New Roman;serif"/>
                  <w:b/>
                  <w:color w:val="0000FF"/>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Roll-forward of Unpaid Losses and LAE</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28">
              <w:r>
                <w:rPr>
                  <w:rStyle w:val="InternetLink"/>
                  <w:rFonts w:ascii="Times New Roman;serif" w:hAnsi="Times New Roman;serif"/>
                  <w:b/>
                  <w:color w:val="0000FF"/>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Investment Portfolio</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31">
              <w:r>
                <w:rPr>
                  <w:rStyle w:val="InternetLink"/>
                  <w:rFonts w:ascii="Times New Roman;serif" w:hAnsi="Times New Roman;serif"/>
                  <w:b/>
                  <w:color w:val="0000FF"/>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34">
              <w:r>
                <w:rPr>
                  <w:rStyle w:val="InternetLink"/>
                  <w:rFonts w:ascii="Times New Roman;serif" w:hAnsi="Times New Roman;serif"/>
                  <w:b/>
                  <w:color w:val="0000FF"/>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afd86001b6434e9c3bc38f0a0b0a03_37">
              <w:r>
                <w:rPr>
                  <w:rStyle w:val="InternetLink"/>
                  <w:rFonts w:ascii="Times New Roman;serif" w:hAnsi="Times New Roman;serif"/>
                  <w:b/>
                  <w:color w:val="0000FF"/>
                  <w:sz w:val="20"/>
                  <w:u w:val="single"/>
                </w:rPr>
                <w:t>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Highlights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 except per share amounts</w:t>
      </w:r>
    </w:p>
    <w:tbl>
      <w:tblPr>
        <w:tblW w:w="10205" w:type="dxa"/>
        <w:jc w:val="center"/>
        <w:tblInd w:w="0" w:type="dxa"/>
        <w:tblLayout w:type="fixed"/>
        <w:tblCellMar>
          <w:top w:w="28" w:type="dxa"/>
          <w:left w:w="28" w:type="dxa"/>
          <w:bottom w:w="28" w:type="dxa"/>
          <w:right w:w="28" w:type="dxa"/>
        </w:tblCellMar>
      </w:tblPr>
      <w:tblGrid>
        <w:gridCol w:w="932"/>
        <w:gridCol w:w="486"/>
        <w:gridCol w:w="488"/>
        <w:gridCol w:w="109"/>
        <w:gridCol w:w="109"/>
        <w:gridCol w:w="109"/>
        <w:gridCol w:w="211"/>
        <w:gridCol w:w="616"/>
        <w:gridCol w:w="271"/>
        <w:gridCol w:w="109"/>
        <w:gridCol w:w="109"/>
        <w:gridCol w:w="109"/>
        <w:gridCol w:w="211"/>
        <w:gridCol w:w="616"/>
        <w:gridCol w:w="271"/>
        <w:gridCol w:w="109"/>
        <w:gridCol w:w="109"/>
        <w:gridCol w:w="109"/>
        <w:gridCol w:w="211"/>
        <w:gridCol w:w="211"/>
        <w:gridCol w:w="526"/>
        <w:gridCol w:w="109"/>
        <w:gridCol w:w="109"/>
        <w:gridCol w:w="109"/>
        <w:gridCol w:w="211"/>
        <w:gridCol w:w="616"/>
        <w:gridCol w:w="271"/>
        <w:gridCol w:w="109"/>
        <w:gridCol w:w="109"/>
        <w:gridCol w:w="109"/>
        <w:gridCol w:w="211"/>
        <w:gridCol w:w="616"/>
        <w:gridCol w:w="271"/>
        <w:gridCol w:w="109"/>
        <w:gridCol w:w="109"/>
        <w:gridCol w:w="109"/>
        <w:gridCol w:w="204"/>
        <w:gridCol w:w="204"/>
        <w:gridCol w:w="589"/>
      </w:tblGrid>
      <w:tr>
        <w:trPr/>
        <w:tc>
          <w:tcPr>
            <w:tcW w:w="93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Selected financial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excluding LPT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Stockholders' equity including the Deferred Gain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stockholders' equity</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Trailing twelve months adjusted return on stockholders' equity</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Amounts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per diluted share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per diluted share excluding LPT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earnings per diluted share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share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share including the Deferred Gain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book value per share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Combined ratio excluding LPT:</w:t>
            </w:r>
            <w:r>
              <w:rPr>
                <w:rFonts w:ascii="Times New Roman;serif" w:hAnsi="Times New Roman;serif"/>
                <w:b/>
                <w:i/>
                <w:color w:val="000000"/>
                <w:sz w:val="13"/>
              </w:rPr>
              <w:t>(5)</w:t>
            </w:r>
            <w:r>
              <w:rPr>
                <w:rFonts w:ascii="Times New Roman;serif" w:hAnsi="Times New Roman;serif"/>
                <w:b/>
                <w:i/>
                <w:color w:val="000000"/>
                <w:sz w:val="2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 excluding LPT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See Page 3 for calculations and Page 10 for information regarding our use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6"/>
              </w:rPr>
              <w:t>See Page 8 for calculations and Page 10 for information regarding our use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See Page 4 for calculations and Page 10 for information regarding our use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See Page 9 for description and calculations and Page 10 for information regarding our use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See Pages 5 for details and Page 10 for information regarding our use of Non-GAAP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 except per share amounts</w:t>
      </w:r>
    </w:p>
    <w:tbl>
      <w:tblPr>
        <w:tblW w:w="9539" w:type="dxa"/>
        <w:jc w:val="center"/>
        <w:tblInd w:w="0" w:type="dxa"/>
        <w:tblLayout w:type="fixed"/>
        <w:tblCellMar>
          <w:top w:w="28" w:type="dxa"/>
          <w:left w:w="28" w:type="dxa"/>
          <w:bottom w:w="28" w:type="dxa"/>
          <w:right w:w="28" w:type="dxa"/>
        </w:tblCellMar>
      </w:tblPr>
      <w:tblGrid>
        <w:gridCol w:w="2345"/>
        <w:gridCol w:w="2066"/>
        <w:gridCol w:w="2084"/>
        <w:gridCol w:w="109"/>
        <w:gridCol w:w="109"/>
        <w:gridCol w:w="109"/>
        <w:gridCol w:w="211"/>
        <w:gridCol w:w="766"/>
        <w:gridCol w:w="109"/>
        <w:gridCol w:w="109"/>
        <w:gridCol w:w="109"/>
        <w:gridCol w:w="109"/>
        <w:gridCol w:w="243"/>
        <w:gridCol w:w="884"/>
        <w:gridCol w:w="177"/>
      </w:tblGrid>
      <w:tr>
        <w:trPr/>
        <w:tc>
          <w:tcPr>
            <w:tcW w:w="234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net of allowance, on paid and unpaid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premium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Stockholders' equity including the Deferred Gain </w:t>
            </w:r>
            <w:r>
              <w:rPr>
                <w:rFonts w:ascii="Times New Roman;serif" w:hAnsi="Times New Roman;serif"/>
                <w:b w:val="false"/>
                <w:color w:val="000000"/>
                <w:sz w:val="13"/>
              </w:rPr>
              <w:t>(1)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7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stockholders' equity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Book value per share </w:t>
            </w:r>
            <w:r>
              <w:rPr>
                <w:rFonts w:ascii="Times New Roman;serif" w:hAnsi="Times New Roman;serif"/>
                <w:b w:val="false"/>
                <w:color w:val="000000"/>
                <w:sz w:val="13"/>
              </w:rPr>
              <w:t>(1)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7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share including the Deferred Gain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book value per share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044" w:type="dxa"/>
            <w:gridSpan w:val="12"/>
            <w:tcBorders/>
          </w:tcPr>
          <w:p>
            <w:pPr>
              <w:pStyle w:val="TableContents"/>
              <w:bidi w:val="0"/>
              <w:spacing w:before="0" w:after="283"/>
              <w:jc w:val="left"/>
              <w:rPr>
                <w:sz w:val="4"/>
                <w:szCs w:val="4"/>
              </w:rPr>
            </w:pPr>
            <w:r>
              <w:rPr>
                <w:sz w:val="4"/>
                <w:szCs w:val="4"/>
              </w:rPr>
            </w:r>
          </w:p>
        </w:tc>
      </w:tr>
      <w:tr>
        <w:trPr/>
        <w:tc>
          <w:tcPr>
            <w:tcW w:w="9539"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Page 8 for calculations and Page 10 for information regarding our use of Non-GAAP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Consolidated Income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w:t>
      </w:r>
    </w:p>
    <w:tbl>
      <w:tblPr>
        <w:tblW w:w="10205" w:type="dxa"/>
        <w:jc w:val="center"/>
        <w:tblInd w:w="0" w:type="dxa"/>
        <w:tblLayout w:type="fixed"/>
        <w:tblCellMar>
          <w:top w:w="28" w:type="dxa"/>
          <w:left w:w="28" w:type="dxa"/>
          <w:bottom w:w="28" w:type="dxa"/>
          <w:right w:w="28" w:type="dxa"/>
        </w:tblCellMar>
      </w:tblPr>
      <w:tblGrid>
        <w:gridCol w:w="1883"/>
        <w:gridCol w:w="1361"/>
        <w:gridCol w:w="1367"/>
        <w:gridCol w:w="247"/>
        <w:gridCol w:w="722"/>
        <w:gridCol w:w="127"/>
        <w:gridCol w:w="127"/>
        <w:gridCol w:w="127"/>
        <w:gridCol w:w="127"/>
        <w:gridCol w:w="247"/>
        <w:gridCol w:w="722"/>
        <w:gridCol w:w="127"/>
        <w:gridCol w:w="127"/>
        <w:gridCol w:w="127"/>
        <w:gridCol w:w="127"/>
        <w:gridCol w:w="247"/>
        <w:gridCol w:w="722"/>
        <w:gridCol w:w="127"/>
        <w:gridCol w:w="127"/>
        <w:gridCol w:w="127"/>
        <w:gridCol w:w="127"/>
        <w:gridCol w:w="247"/>
        <w:gridCol w:w="722"/>
        <w:gridCol w:w="194"/>
      </w:tblGrid>
      <w:tr>
        <w:trPr/>
        <w:tc>
          <w:tcPr>
            <w:tcW w:w="188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5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realized and unrealized gains on investments</w:t>
            </w:r>
            <w:r>
              <w:rPr>
                <w:rFonts w:ascii="Times New Roman;serif" w:hAnsi="Times New Roman;serif"/>
                <w:b w:val="false"/>
                <w:color w:val="000000"/>
                <w:sz w:val="13"/>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Unrealized AFS investment (losses) gains arising during the period, net of tax</w:t>
            </w:r>
            <w:r>
              <w:rPr>
                <w:rFonts w:ascii="Times New Roman;serif" w:hAnsi="Times New Roman;serif"/>
                <w:b w:val="false"/>
                <w:color w:val="000000"/>
                <w:sz w:val="13"/>
              </w:rPr>
              <w:t>(2)</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Reclassification adjustment for net realized AFS investment losses in net income, net of tax</w:t>
            </w:r>
            <w:r>
              <w:rPr>
                <w:rFonts w:ascii="Times New Roman;serif" w:hAnsi="Times New Roman;serif"/>
                <w:b w:val="false"/>
                <w:color w:val="000000"/>
                <w:sz w:val="13"/>
              </w:rPr>
              <w:t>(2)</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9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the Deferred Gain </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Net income excluding LPT Agreement </w:t>
            </w:r>
            <w:r>
              <w:rPr>
                <w:rFonts w:ascii="Times New Roman;serif" w:hAnsi="Times New Roman;serif"/>
                <w:b/>
                <w:color w:val="000000"/>
                <w:sz w:val="13"/>
              </w:rPr>
              <w:t>(3)</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excluded from Net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unrealized gains (losses) on equity securities and other investments of $1.2 million and $19.6 million for the three months ended June 30, 2026 and 2025, respectively and $(1.4) million and $7.9 million for the six months ended June 30, 2026 and 2025, respectively.</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AFS = Available for Sale securities.</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 See Page 10 regarding our use of Non-GAAP Financial Measures.</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Return on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w:t>
      </w:r>
    </w:p>
    <w:tbl>
      <w:tblPr>
        <w:tblW w:w="10205" w:type="dxa"/>
        <w:jc w:val="center"/>
        <w:tblInd w:w="0" w:type="dxa"/>
        <w:tblLayout w:type="fixed"/>
        <w:tblCellMar>
          <w:top w:w="28" w:type="dxa"/>
          <w:left w:w="28" w:type="dxa"/>
          <w:bottom w:w="28" w:type="dxa"/>
          <w:right w:w="28" w:type="dxa"/>
        </w:tblCellMar>
      </w:tblPr>
      <w:tblGrid>
        <w:gridCol w:w="1575"/>
        <w:gridCol w:w="1243"/>
        <w:gridCol w:w="1227"/>
        <w:gridCol w:w="146"/>
        <w:gridCol w:w="146"/>
        <w:gridCol w:w="148"/>
        <w:gridCol w:w="211"/>
        <w:gridCol w:w="616"/>
        <w:gridCol w:w="271"/>
        <w:gridCol w:w="109"/>
        <w:gridCol w:w="109"/>
        <w:gridCol w:w="109"/>
        <w:gridCol w:w="211"/>
        <w:gridCol w:w="766"/>
        <w:gridCol w:w="271"/>
        <w:gridCol w:w="109"/>
        <w:gridCol w:w="109"/>
        <w:gridCol w:w="109"/>
        <w:gridCol w:w="211"/>
        <w:gridCol w:w="616"/>
        <w:gridCol w:w="271"/>
        <w:gridCol w:w="109"/>
        <w:gridCol w:w="109"/>
        <w:gridCol w:w="109"/>
        <w:gridCol w:w="211"/>
        <w:gridCol w:w="766"/>
        <w:gridCol w:w="318"/>
      </w:tblGrid>
      <w:tr>
        <w:trPr/>
        <w:tc>
          <w:tcPr>
            <w:tcW w:w="157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LPT Agreement</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on investments</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excluded from Net income</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net income</w:t>
            </w:r>
            <w:r>
              <w:rPr>
                <w:rFonts w:ascii="Times New Roman;serif" w:hAnsi="Times New Roman;serif"/>
                <w:b/>
                <w:color w:val="000000"/>
                <w:sz w:val="13"/>
              </w:rPr>
              <w:t>(1)</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end of period</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beginning of period</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stockholders' equity</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C</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end of period</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 - end of period</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end of period</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related to accumulated other comprehensive loss - end of period</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 - end of period</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stockholders' equity - beginning of period</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Average adjusted stockholders' equity</w:t>
            </w:r>
            <w:r>
              <w:rPr>
                <w:color w:val="000000"/>
              </w:rPr>
              <w:t xml:space="preserve"> </w:t>
            </w:r>
            <w:r>
              <w:rPr>
                <w:rFonts w:ascii="Times New Roman;serif" w:hAnsi="Times New Roman;serif"/>
                <w:b/>
                <w:color w:val="000000"/>
                <w:sz w:val="13"/>
              </w:rPr>
              <w:t>(1)</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stockholders' equity</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 /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Trailing twelve months return on stockholders' equity</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return on stockholders' equity </w:t>
            </w:r>
            <w:r>
              <w:rPr>
                <w:rFonts w:ascii="Times New Roman;serif" w:hAnsi="Times New Roman;serif"/>
                <w:b w:val="false"/>
                <w:color w:val="000000"/>
                <w:sz w:val="13"/>
              </w:rPr>
              <w:t>(1)</w:t>
            </w:r>
          </w:p>
        </w:tc>
        <w:tc>
          <w:tcPr>
            <w:tcW w:w="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 /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Trailing twelve months adjusted return on stockholders' equity </w:t>
            </w:r>
            <w:r>
              <w:rPr>
                <w:rFonts w:ascii="Times New Roman;serif" w:hAnsi="Times New Roman;serif"/>
                <w:b/>
                <w:color w:val="000000"/>
                <w:sz w:val="13"/>
              </w:rPr>
              <w:t>(1)</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Page 10 for information regarding our use of Non-GAAP Financial Measures.</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EMPLOYERS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Combined Ratios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millions, except per share amounts</w:t>
      </w:r>
    </w:p>
    <w:tbl>
      <w:tblPr>
        <w:tblW w:w="10205" w:type="dxa"/>
        <w:jc w:val="center"/>
        <w:tblInd w:w="0" w:type="dxa"/>
        <w:tblLayout w:type="fixed"/>
        <w:tblCellMar>
          <w:top w:w="28" w:type="dxa"/>
          <w:left w:w="28" w:type="dxa"/>
          <w:bottom w:w="28" w:type="dxa"/>
          <w:right w:w="28" w:type="dxa"/>
        </w:tblCellMar>
      </w:tblPr>
      <w:tblGrid>
        <w:gridCol w:w="1609"/>
        <w:gridCol w:w="1373"/>
        <w:gridCol w:w="1384"/>
        <w:gridCol w:w="139"/>
        <w:gridCol w:w="139"/>
        <w:gridCol w:w="13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20"/>
      </w:tblGrid>
      <w:tr>
        <w:trPr/>
        <w:tc>
          <w:tcPr>
            <w:tcW w:w="16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the Deferred Gain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Losses and LAE excluding LPT</w:t>
            </w:r>
            <w:r>
              <w:rPr>
                <w:rFonts w:ascii="Times New Roman;serif" w:hAnsi="Times New Roman;serif"/>
                <w:b w:val="false"/>
                <w:color w:val="000000"/>
                <w:sz w:val="13"/>
              </w:rPr>
              <w:t>(1)</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loss reserve development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and LAE excluding LPT - current accident year</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combined ratio:</w:t>
            </w:r>
          </w:p>
        </w:tc>
        <w:tc>
          <w:tcPr>
            <w:tcW w:w="4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 ratio</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B/A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F/A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combined ratio</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Combined ratio excluding LPT:</w:t>
            </w:r>
            <w:r>
              <w:rPr>
                <w:rFonts w:ascii="Times New Roman;serif" w:hAnsi="Times New Roman;serif"/>
                <w:b/>
                <w:color w:val="000000"/>
                <w:sz w:val="13"/>
              </w:rPr>
              <w:t>(1)</w:t>
            </w:r>
          </w:p>
        </w:tc>
        <w:tc>
          <w:tcPr>
            <w:tcW w:w="41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 ratio excluding LPT</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C/A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F/A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 excluding LPT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2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Combined ratio excluding LPT: current accident year:</w:t>
            </w:r>
            <w:r>
              <w:rPr>
                <w:rFonts w:ascii="Times New Roman;serif" w:hAnsi="Times New Roman;serif"/>
                <w:b/>
                <w:color w:val="000000"/>
                <w:sz w:val="13"/>
              </w:rPr>
              <w:t>(1)</w:t>
            </w:r>
          </w:p>
        </w:tc>
        <w:tc>
          <w:tcPr>
            <w:tcW w:w="4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Loss and LAE ratio excluding LPT</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expense ratio</w:t>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E/A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 ratio</w:t>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993300"/>
                <w:sz w:val="20"/>
              </w:rPr>
            </w:pPr>
            <w:r>
              <w:rPr>
                <w:rFonts w:ascii="Times New Roman;serif" w:hAnsi="Times New Roman;serif"/>
                <w:b/>
                <w:color w:val="993300"/>
                <w:sz w:val="20"/>
              </w:rPr>
              <w:t>F/A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 excluding LPT: current accident year</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Page 10 for information regarding our use of Non-GAAP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Roll-forward of Unpaid Losses and LAE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w:t>
      </w:r>
    </w:p>
    <w:tbl>
      <w:tblPr>
        <w:tblW w:w="10205" w:type="dxa"/>
        <w:jc w:val="center"/>
        <w:tblInd w:w="0" w:type="dxa"/>
        <w:tblLayout w:type="fixed"/>
        <w:tblCellMar>
          <w:top w:w="28" w:type="dxa"/>
          <w:left w:w="28" w:type="dxa"/>
          <w:bottom w:w="28" w:type="dxa"/>
          <w:right w:w="28" w:type="dxa"/>
        </w:tblCellMar>
      </w:tblPr>
      <w:tblGrid>
        <w:gridCol w:w="1785"/>
        <w:gridCol w:w="1522"/>
        <w:gridCol w:w="152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78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LAE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excluding CECL allowance, on unpaid losses and LAE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unpaid losses and LAE at beginning of period</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Prior year losses on voluntary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losses on involuntary business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incurred</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paid: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 losses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unpaid losses and LAE at end of period</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excluding CECL allowance, on unpaid losses and LAE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LAE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losses and LAE shown in the above table exclude amortization of the Deferred Gain, which totaled $1.5 million and $1.7 million for the three months ended June 30, 2026 and 2025, respectively, and $2.7 million and $3.3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Investment Portfolio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w:t>
      </w:r>
    </w:p>
    <w:tbl>
      <w:tblPr>
        <w:tblW w:w="10205" w:type="dxa"/>
        <w:jc w:val="center"/>
        <w:tblInd w:w="0" w:type="dxa"/>
        <w:tblLayout w:type="fixed"/>
        <w:tblCellMar>
          <w:top w:w="28" w:type="dxa"/>
          <w:left w:w="28" w:type="dxa"/>
          <w:bottom w:w="28" w:type="dxa"/>
          <w:right w:w="28" w:type="dxa"/>
        </w:tblCellMar>
      </w:tblPr>
      <w:tblGrid>
        <w:gridCol w:w="929"/>
        <w:gridCol w:w="419"/>
        <w:gridCol w:w="422"/>
        <w:gridCol w:w="109"/>
        <w:gridCol w:w="109"/>
        <w:gridCol w:w="109"/>
        <w:gridCol w:w="223"/>
        <w:gridCol w:w="813"/>
        <w:gridCol w:w="115"/>
        <w:gridCol w:w="109"/>
        <w:gridCol w:w="109"/>
        <w:gridCol w:w="109"/>
        <w:gridCol w:w="109"/>
        <w:gridCol w:w="109"/>
        <w:gridCol w:w="109"/>
        <w:gridCol w:w="109"/>
        <w:gridCol w:w="296"/>
        <w:gridCol w:w="740"/>
        <w:gridCol w:w="154"/>
        <w:gridCol w:w="109"/>
        <w:gridCol w:w="109"/>
        <w:gridCol w:w="109"/>
        <w:gridCol w:w="211"/>
        <w:gridCol w:w="766"/>
        <w:gridCol w:w="109"/>
        <w:gridCol w:w="109"/>
        <w:gridCol w:w="109"/>
        <w:gridCol w:w="109"/>
        <w:gridCol w:w="231"/>
        <w:gridCol w:w="235"/>
        <w:gridCol w:w="271"/>
        <w:gridCol w:w="109"/>
        <w:gridCol w:w="109"/>
        <w:gridCol w:w="109"/>
        <w:gridCol w:w="211"/>
        <w:gridCol w:w="766"/>
        <w:gridCol w:w="109"/>
        <w:gridCol w:w="109"/>
        <w:gridCol w:w="109"/>
        <w:gridCol w:w="109"/>
        <w:gridCol w:w="231"/>
        <w:gridCol w:w="235"/>
        <w:gridCol w:w="321"/>
      </w:tblGrid>
      <w:tr>
        <w:trPr/>
        <w:tc>
          <w:tcPr>
            <w:tcW w:w="92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2527" w:type="dxa"/>
            <w:gridSpan w:val="1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Cost or Amortized</w:t>
            </w:r>
          </w:p>
          <w:p>
            <w:pPr>
              <w:pStyle w:val="TableContents"/>
              <w:bidi w:val="0"/>
              <w:spacing w:lineRule="auto" w:line="240" w:before="0" w:after="0"/>
              <w:jc w:val="center"/>
              <w:rPr/>
            </w:pPr>
            <w:r>
              <w:rPr>
                <w:rFonts w:ascii="Times New Roman;serif" w:hAnsi="Times New Roman;serif"/>
                <w:b/>
                <w:color w:val="000000"/>
                <w:sz w:val="20"/>
              </w:rPr>
              <w:t xml:space="preserve">Cost </w:t>
            </w:r>
            <w:r>
              <w:rPr>
                <w:rFonts w:ascii="Times New Roman;serif" w:hAnsi="Times New Roman;serif"/>
                <w:b/>
                <w:color w:val="000000"/>
                <w:sz w:val="13"/>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Unrealized Gain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1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and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Breakout of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agencies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municipalities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953" w:type="dxa"/>
        <w:jc w:val="center"/>
        <w:tblInd w:w="0" w:type="dxa"/>
        <w:tblLayout w:type="fixed"/>
        <w:tblCellMar>
          <w:top w:w="28" w:type="dxa"/>
          <w:left w:w="28" w:type="dxa"/>
          <w:bottom w:w="28" w:type="dxa"/>
          <w:right w:w="28" w:type="dxa"/>
        </w:tblCellMar>
      </w:tblPr>
      <w:tblGrid>
        <w:gridCol w:w="2256"/>
        <w:gridCol w:w="1977"/>
        <w:gridCol w:w="1992"/>
        <w:gridCol w:w="109"/>
        <w:gridCol w:w="109"/>
        <w:gridCol w:w="109"/>
        <w:gridCol w:w="109"/>
        <w:gridCol w:w="109"/>
        <w:gridCol w:w="109"/>
        <w:gridCol w:w="174"/>
        <w:gridCol w:w="174"/>
        <w:gridCol w:w="176"/>
        <w:gridCol w:w="109"/>
        <w:gridCol w:w="109"/>
        <w:gridCol w:w="109"/>
        <w:gridCol w:w="109"/>
        <w:gridCol w:w="109"/>
        <w:gridCol w:w="109"/>
        <w:gridCol w:w="109"/>
        <w:gridCol w:w="109"/>
        <w:gridCol w:w="109"/>
        <w:gridCol w:w="165"/>
        <w:gridCol w:w="165"/>
        <w:gridCol w:w="239"/>
      </w:tblGrid>
      <w:tr>
        <w:trPr/>
        <w:tc>
          <w:tcPr>
            <w:tcW w:w="225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book yield</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credit quality (S&amp;P)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Duration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622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Amortized cost excludes allowance for current expected credit losses of $1.1 million</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Duration is measured by the sensitivity to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Book Value Per Share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 except per share amounts</w:t>
      </w:r>
    </w:p>
    <w:tbl>
      <w:tblPr>
        <w:tblW w:w="10205" w:type="dxa"/>
        <w:jc w:val="center"/>
        <w:tblInd w:w="0" w:type="dxa"/>
        <w:tblLayout w:type="fixed"/>
        <w:tblCellMar>
          <w:top w:w="28" w:type="dxa"/>
          <w:left w:w="28" w:type="dxa"/>
          <w:bottom w:w="28" w:type="dxa"/>
          <w:right w:w="28" w:type="dxa"/>
        </w:tblCellMar>
      </w:tblPr>
      <w:tblGrid>
        <w:gridCol w:w="1110"/>
        <w:gridCol w:w="854"/>
        <w:gridCol w:w="865"/>
        <w:gridCol w:w="143"/>
        <w:gridCol w:w="143"/>
        <w:gridCol w:w="144"/>
        <w:gridCol w:w="304"/>
        <w:gridCol w:w="892"/>
        <w:gridCol w:w="300"/>
        <w:gridCol w:w="120"/>
        <w:gridCol w:w="120"/>
        <w:gridCol w:w="120"/>
        <w:gridCol w:w="304"/>
        <w:gridCol w:w="892"/>
        <w:gridCol w:w="300"/>
        <w:gridCol w:w="120"/>
        <w:gridCol w:w="120"/>
        <w:gridCol w:w="120"/>
        <w:gridCol w:w="258"/>
        <w:gridCol w:w="939"/>
        <w:gridCol w:w="300"/>
        <w:gridCol w:w="109"/>
        <w:gridCol w:w="109"/>
        <w:gridCol w:w="109"/>
        <w:gridCol w:w="233"/>
        <w:gridCol w:w="848"/>
        <w:gridCol w:w="329"/>
      </w:tblGrid>
      <w:tr>
        <w:trPr/>
        <w:tc>
          <w:tcPr>
            <w:tcW w:w="111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Numerators:</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Deferred Gain</w:t>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Stockholders' equity including the Deferred Gain</w:t>
            </w:r>
            <w:r>
              <w:rPr>
                <w:color w:val="000000"/>
              </w:rPr>
              <w:t xml:space="preserve"> </w:t>
            </w:r>
            <w:r>
              <w:rPr>
                <w:rFonts w:ascii="Times New Roman;serif" w:hAnsi="Times New Roman;serif"/>
                <w:b/>
                <w:color w:val="000000"/>
                <w:sz w:val="13"/>
              </w:rPr>
              <w:t>(1)</w:t>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w:t>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related to accumulated other comprehensive (loss) income</w:t>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stockholders' equity </w:t>
            </w:r>
            <w:r>
              <w:rPr>
                <w:rFonts w:ascii="Times New Roman;serif" w:hAnsi="Times New Roman;serif"/>
                <w:b/>
                <w:color w:val="000000"/>
                <w:sz w:val="13"/>
              </w:rPr>
              <w:t>(1)</w:t>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C</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(shares outstanding)</w:t>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D</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17,954,305 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18,596,468 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20,342,135 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23,740,953 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Book value per share </w:t>
            </w:r>
            <w:r>
              <w:rPr>
                <w:rFonts w:ascii="Times New Roman;serif" w:hAnsi="Times New Roman;serif"/>
                <w:b w:val="false"/>
                <w:color w:val="000000"/>
                <w:sz w:val="13"/>
              </w:rPr>
              <w:t>(1)</w:t>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 / 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share including the Deferred Gain</w:t>
            </w:r>
            <w:r>
              <w:rPr>
                <w:rFonts w:ascii="Times New Roman;serif" w:hAnsi="Times New Roman;serif"/>
                <w:b w:val="false"/>
                <w:color w:val="000000"/>
                <w:sz w:val="13"/>
              </w:rPr>
              <w:t>(1)</w:t>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 / D</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book value per share </w:t>
            </w:r>
            <w:r>
              <w:rPr>
                <w:rFonts w:ascii="Times New Roman;serif" w:hAnsi="Times New Roman;serif"/>
                <w:b w:val="false"/>
                <w:color w:val="000000"/>
                <w:sz w:val="13"/>
              </w:rPr>
              <w:t>(1)</w:t>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C / D</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829"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Year-over-year change in: </w:t>
            </w:r>
            <w:r>
              <w:rPr>
                <w:rFonts w:ascii="Times New Roman;serif" w:hAnsi="Times New Roman;serif"/>
                <w:b/>
                <w:color w:val="000000"/>
                <w:sz w:val="13"/>
              </w:rPr>
              <w:t>(2)</w:t>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 including the Deferred Gain</w:t>
            </w:r>
          </w:p>
        </w:tc>
        <w:tc>
          <w:tcPr>
            <w:tcW w:w="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book value per share</w:t>
            </w:r>
          </w:p>
        </w:tc>
        <w:tc>
          <w:tcPr>
            <w:tcW w:w="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8"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Page 10 for information regarding our use of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8" w:type="dxa"/>
            <w:gridSpan w:val="21"/>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Reflects the twelve month change in book value per share after taking into account dividends declared of $1.30, $1.28, $1.26, and $1.22 for the twelve month periods ended June 30, 2026, March 31, 2026, December 31, 2025 and June 30, 2025,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Per Share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millions, except per share amounts</w:t>
      </w:r>
    </w:p>
    <w:tbl>
      <w:tblPr>
        <w:tblW w:w="10205" w:type="dxa"/>
        <w:jc w:val="center"/>
        <w:tblInd w:w="0" w:type="dxa"/>
        <w:tblLayout w:type="fixed"/>
        <w:tblCellMar>
          <w:top w:w="28" w:type="dxa"/>
          <w:left w:w="28" w:type="dxa"/>
          <w:bottom w:w="28" w:type="dxa"/>
          <w:right w:w="28" w:type="dxa"/>
        </w:tblCellMar>
      </w:tblPr>
      <w:tblGrid>
        <w:gridCol w:w="1464"/>
        <w:gridCol w:w="1239"/>
        <w:gridCol w:w="1245"/>
        <w:gridCol w:w="155"/>
        <w:gridCol w:w="155"/>
        <w:gridCol w:w="157"/>
        <w:gridCol w:w="315"/>
        <w:gridCol w:w="766"/>
        <w:gridCol w:w="109"/>
        <w:gridCol w:w="109"/>
        <w:gridCol w:w="109"/>
        <w:gridCol w:w="109"/>
        <w:gridCol w:w="315"/>
        <w:gridCol w:w="766"/>
        <w:gridCol w:w="109"/>
        <w:gridCol w:w="109"/>
        <w:gridCol w:w="109"/>
        <w:gridCol w:w="109"/>
        <w:gridCol w:w="315"/>
        <w:gridCol w:w="766"/>
        <w:gridCol w:w="109"/>
        <w:gridCol w:w="109"/>
        <w:gridCol w:w="109"/>
        <w:gridCol w:w="109"/>
        <w:gridCol w:w="315"/>
        <w:gridCol w:w="766"/>
        <w:gridCol w:w="158"/>
      </w:tblGrid>
      <w:tr>
        <w:trPr/>
        <w:tc>
          <w:tcPr>
            <w:tcW w:w="146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Numerators:</w:t>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A</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LPT Agreement</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Net income excluding LPT </w:t>
            </w:r>
            <w:r>
              <w:rPr>
                <w:rFonts w:ascii="Times New Roman;serif" w:hAnsi="Times New Roman;serif"/>
                <w:b/>
                <w:color w:val="000000"/>
                <w:sz w:val="13"/>
              </w:rPr>
              <w:t>(1)</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B</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excluded from Net income</w:t>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net income</w:t>
            </w:r>
            <w:r>
              <w:rPr>
                <w:rFonts w:ascii="Times New Roman;serif" w:hAnsi="Times New Roman;serif"/>
                <w:b/>
                <w:color w:val="000000"/>
                <w:sz w:val="13"/>
              </w:rPr>
              <w:t>(1)</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C</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Denominators:</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(basic)</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(diluted)</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993300"/>
                <w:sz w:val="20"/>
              </w:rPr>
            </w:pPr>
            <w:r>
              <w:rPr>
                <w:rFonts w:ascii="Times New Roman;serif" w:hAnsi="Times New Roman;serif"/>
                <w:b/>
                <w:color w:val="993300"/>
                <w:sz w:val="20"/>
              </w:rPr>
              <w:t>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A / 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w:t>
            </w:r>
            <w:r>
              <w:rPr>
                <w:color w:val="000000"/>
              </w:rPr>
              <w:t xml:space="preserve"> </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A /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Earnings per share excluding LPT: </w:t>
            </w:r>
            <w:r>
              <w:rPr>
                <w:rFonts w:ascii="Times New Roman;serif" w:hAnsi="Times New Roman;serif"/>
                <w:b/>
                <w:color w:val="000000"/>
                <w:sz w:val="13"/>
              </w:rPr>
              <w:t>(1)</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B / 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B /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earnings per share: </w:t>
            </w:r>
            <w:r>
              <w:rPr>
                <w:rFonts w:ascii="Times New Roman;serif" w:hAnsi="Times New Roman;serif"/>
                <w:b/>
                <w:color w:val="000000"/>
                <w:sz w:val="13"/>
              </w:rPr>
              <w:t>(1)</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C / 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993300"/>
                <w:sz w:val="20"/>
              </w:rPr>
            </w:pPr>
            <w:r>
              <w:rPr>
                <w:rFonts w:ascii="Times New Roman;serif" w:hAnsi="Times New Roman;serif"/>
                <w:b/>
                <w:color w:val="993300"/>
                <w:sz w:val="20"/>
              </w:rPr>
              <w:t>C /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Page 10 for information regarding our use of Non-GAAP Financial Measures.</w:t>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6257"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p>
                  </w:txbxContent>
                </v:textbox>
                <w10:wrap type="none"/>
              </v:rect>
            </w:pict>
          </mc:Fallback>
        </mc:AlternateContent>
      </w:r>
    </w:p>
    <w:p>
      <w:pPr>
        <w:pStyle w:val="TextBody"/>
        <w:bidi w:val="0"/>
        <w:spacing w:lineRule="auto" w:line="288" w:before="60" w:after="18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Within this earnings release we present the following measures, each of which are "non-GAAP financial measures." A reconciliation of these measures to the Company's most directly comparable GAAP financial measures is included herein. Management believes that these non-GAAP measures are important to the Company's investors, analysts and other interested parties who benefit from having an objective and consistent basis for comparison with other companies within our industry. Management further believes that these measures are more relevant than comparable GAAP measures in evaluating our financial performance.</w:t>
      </w:r>
    </w:p>
    <w:p>
      <w:pPr>
        <w:pStyle w:val="TextBody"/>
        <w:bidi w:val="0"/>
        <w:spacing w:lineRule="auto" w:line="288" w:before="60" w:after="180"/>
        <w:jc w:val="both"/>
        <w:rPr/>
      </w:pPr>
      <w:r>
        <w:rPr>
          <w:rFonts w:ascii="Times New Roman;serif" w:hAnsi="Times New Roman;serif"/>
          <w:b/>
          <w:i/>
          <w:color w:val="000000"/>
          <w:sz w:val="20"/>
        </w:rPr>
        <w:t xml:space="preserve">The LPT Agreement </w:t>
      </w:r>
      <w:r>
        <w:rPr>
          <w:rFonts w:ascii="Times New Roman;serif" w:hAnsi="Times New Roman;serif"/>
          <w:b w:val="false"/>
          <w:color w:val="000000"/>
          <w:sz w:val="20"/>
        </w:rPr>
        <w:t xml:space="preserve">is a non-recurring transaction that no longer provides any ongoing cash benefits to the Company. Management believes that providing non-GAAP measures that exclude the effects of the LPT Agreement (amortization of deferred reinsurance gain, adjustments to LPT Agreement ceded reserves and adjustments to the contingent commission receivable) is useful in providing investors, analysts and other interested parties a meaningful understanding of the Company's ongoing underwriting performance. </w:t>
      </w:r>
    </w:p>
    <w:p>
      <w:pPr>
        <w:pStyle w:val="TextBody"/>
        <w:bidi w:val="0"/>
        <w:spacing w:lineRule="auto" w:line="288" w:before="60" w:after="180"/>
        <w:jc w:val="both"/>
        <w:rPr/>
      </w:pPr>
      <w:r>
        <w:rPr>
          <w:rFonts w:ascii="Times New Roman;serif" w:hAnsi="Times New Roman;serif"/>
          <w:b/>
          <w:i/>
          <w:color w:val="000000"/>
          <w:sz w:val="20"/>
        </w:rPr>
        <w:t xml:space="preserve">Deferred reinsurance gain (Deferred Gain) </w:t>
      </w:r>
      <w:r>
        <w:rPr>
          <w:rFonts w:ascii="Times New Roman;serif" w:hAnsi="Times New Roman;serif"/>
          <w:b w:val="false"/>
          <w:color w:val="000000"/>
          <w:sz w:val="20"/>
        </w:rPr>
        <w:t xml:space="preserve">reflects the unamortized gain from the LPT Agreement. This gain has been deferred and is being amortized using the recovery method, whereby the amortization is determined by the proportion of actual reinsurance recoveries to total estimated recoveries, except for the contingent profit commission, which was amortized through June 30, 2024, the date of its final determination. Amortization is reflected in losses and LAE incurred. </w:t>
      </w:r>
    </w:p>
    <w:p>
      <w:pPr>
        <w:pStyle w:val="TextBody"/>
        <w:bidi w:val="0"/>
        <w:spacing w:lineRule="auto" w:line="288" w:before="60" w:after="180"/>
        <w:jc w:val="both"/>
        <w:rPr/>
      </w:pPr>
      <w:r>
        <w:rPr>
          <w:rFonts w:ascii="Times New Roman;serif" w:hAnsi="Times New Roman;serif"/>
          <w:b/>
          <w:i/>
          <w:color w:val="000000"/>
          <w:sz w:val="20"/>
        </w:rPr>
        <w:t xml:space="preserve">Adjusted net income </w:t>
      </w:r>
      <w:r>
        <w:rPr>
          <w:rFonts w:ascii="Times New Roman;serif" w:hAnsi="Times New Roman;serif"/>
          <w:b w:val="false"/>
          <w:i/>
          <w:color w:val="000000"/>
          <w:sz w:val="20"/>
        </w:rPr>
        <w:t>(see Page 3 for calculations)</w:t>
      </w:r>
      <w:r>
        <w:rPr>
          <w:color w:val="000000"/>
        </w:rPr>
        <w:t xml:space="preserve"> </w:t>
      </w:r>
      <w:r>
        <w:rPr>
          <w:rFonts w:ascii="Times New Roman;serif" w:hAnsi="Times New Roman;serif"/>
          <w:b w:val="false"/>
          <w:color w:val="000000"/>
          <w:sz w:val="20"/>
        </w:rPr>
        <w:t xml:space="preserve">is net income excluding the effects of the LPT Agreement, and net realized and unrealized gains and losses on investments (net of tax), and any miscellaneous non-recurring transactions (net of tax). Management believes that providing this non-GAAP measure is helpful to investors, analysts and other interested parties in identifying trends in the Company's operating performance because such items have limited significance to its ongoing operations or can be impacted by both discretionary and other economic factors and may not represent operating trends. </w:t>
      </w:r>
    </w:p>
    <w:p>
      <w:pPr>
        <w:pStyle w:val="TextBody"/>
        <w:bidi w:val="0"/>
        <w:spacing w:lineRule="auto" w:line="288" w:before="60" w:after="180"/>
        <w:jc w:val="both"/>
        <w:rPr/>
      </w:pPr>
      <w:r>
        <w:rPr>
          <w:rFonts w:ascii="Times New Roman;serif" w:hAnsi="Times New Roman;serif"/>
          <w:b/>
          <w:i/>
          <w:color w:val="000000"/>
          <w:sz w:val="20"/>
        </w:rPr>
        <w:t xml:space="preserve">Stockholders' equity including the Deferred Gain </w:t>
      </w:r>
      <w:r>
        <w:rPr>
          <w:rFonts w:ascii="Times New Roman;serif" w:hAnsi="Times New Roman;serif"/>
          <w:b w:val="false"/>
          <w:i/>
          <w:color w:val="000000"/>
          <w:sz w:val="20"/>
        </w:rPr>
        <w:t xml:space="preserve">(see Page 8 for calculations) </w:t>
      </w:r>
      <w:r>
        <w:rPr>
          <w:rFonts w:ascii="Times New Roman;serif" w:hAnsi="Times New Roman;serif"/>
          <w:b w:val="false"/>
          <w:color w:val="000000"/>
          <w:sz w:val="20"/>
        </w:rPr>
        <w:t>is stockholders' equity including the Deferred Gain. Management believes that providing this non-GAAP measure is useful in providing investors, analysts and other interested parties a meaningful measure of the Company's total underwriting capital.</w:t>
      </w:r>
    </w:p>
    <w:p>
      <w:pPr>
        <w:pStyle w:val="TextBody"/>
        <w:bidi w:val="0"/>
        <w:spacing w:lineRule="auto" w:line="288" w:before="60" w:after="180"/>
        <w:jc w:val="both"/>
        <w:rPr/>
      </w:pPr>
      <w:r>
        <w:rPr>
          <w:rFonts w:ascii="Times New Roman;serif" w:hAnsi="Times New Roman;serif"/>
          <w:b/>
          <w:i/>
          <w:color w:val="000000"/>
          <w:sz w:val="20"/>
        </w:rPr>
        <w:t xml:space="preserve">Adjusted stockholders' equity </w:t>
      </w:r>
      <w:r>
        <w:rPr>
          <w:rFonts w:ascii="Times New Roman;serif" w:hAnsi="Times New Roman;serif"/>
          <w:b w:val="false"/>
          <w:i/>
          <w:color w:val="000000"/>
          <w:sz w:val="20"/>
        </w:rPr>
        <w:t xml:space="preserve">(see Page 8 for calculations) </w:t>
      </w:r>
      <w:r>
        <w:rPr>
          <w:rFonts w:ascii="Times New Roman;serif" w:hAnsi="Times New Roman;serif"/>
          <w:b w:val="false"/>
          <w:color w:val="000000"/>
          <w:sz w:val="20"/>
        </w:rPr>
        <w:t>is stockholders' equity including the Deferred Gain, less accumulated other comprehensive income (loss) (net of tax). Management believes that providing this non-GAAP measure is useful to investors, analysts and other interested parties since it serves as the denominator to the Company's adjusted return on stockholders' equity metric.</w:t>
      </w:r>
    </w:p>
    <w:p>
      <w:pPr>
        <w:pStyle w:val="TextBody"/>
        <w:bidi w:val="0"/>
        <w:spacing w:lineRule="auto" w:line="288" w:before="60" w:after="180"/>
        <w:jc w:val="both"/>
        <w:rPr/>
      </w:pPr>
      <w:r>
        <w:rPr>
          <w:rFonts w:ascii="Times New Roman;serif" w:hAnsi="Times New Roman;serif"/>
          <w:b/>
          <w:i/>
          <w:color w:val="000000"/>
          <w:sz w:val="20"/>
        </w:rPr>
        <w:t xml:space="preserve">Return on stockholders' equity and Adjusted return on stockholders' equity </w:t>
      </w:r>
      <w:r>
        <w:rPr>
          <w:rFonts w:ascii="Times New Roman;serif" w:hAnsi="Times New Roman;serif"/>
          <w:b w:val="false"/>
          <w:i/>
          <w:color w:val="000000"/>
          <w:sz w:val="20"/>
        </w:rPr>
        <w:t>(see Page 4 for calculations)</w:t>
      </w:r>
      <w:r>
        <w:rPr>
          <w:rFonts w:ascii="Times New Roman;serif" w:hAnsi="Times New Roman;serif"/>
          <w:b/>
          <w:i/>
          <w:color w:val="000000"/>
          <w:sz w:val="20"/>
        </w:rPr>
        <w:t xml:space="preserve">. </w:t>
      </w:r>
      <w:r>
        <w:rPr>
          <w:rFonts w:ascii="Times New Roman;serif" w:hAnsi="Times New Roman;serif"/>
          <w:b w:val="false"/>
          <w:color w:val="000000"/>
          <w:sz w:val="20"/>
        </w:rPr>
        <w:t xml:space="preserve">Management believes that these profitability measures are widely used by our investors, analysts and other interested parties. </w:t>
      </w:r>
    </w:p>
    <w:p>
      <w:pPr>
        <w:pStyle w:val="TextBody"/>
        <w:bidi w:val="0"/>
        <w:spacing w:lineRule="auto" w:line="288" w:before="60" w:after="180"/>
        <w:jc w:val="both"/>
        <w:rPr/>
      </w:pPr>
      <w:r>
        <w:rPr>
          <w:rFonts w:ascii="Times New Roman;serif" w:hAnsi="Times New Roman;serif"/>
          <w:b/>
          <w:i/>
          <w:color w:val="000000"/>
          <w:sz w:val="20"/>
        </w:rPr>
        <w:t xml:space="preserve">Book value per share, Book value per share including the Deferred Gain, and Adjusted book value per share </w:t>
      </w:r>
      <w:r>
        <w:rPr>
          <w:rFonts w:ascii="Times New Roman;serif" w:hAnsi="Times New Roman;serif"/>
          <w:b w:val="false"/>
          <w:i/>
          <w:color w:val="000000"/>
          <w:sz w:val="20"/>
        </w:rPr>
        <w:t xml:space="preserve">(see Page 8 for calculations). </w:t>
      </w:r>
      <w:r>
        <w:rPr>
          <w:rFonts w:ascii="Times New Roman;serif" w:hAnsi="Times New Roman;serif"/>
          <w:b w:val="false"/>
          <w:color w:val="000000"/>
          <w:sz w:val="20"/>
        </w:rPr>
        <w:t xml:space="preserve">Management believes that these valuation measures are widely used by our investors, analysts and other interested parties. </w:t>
      </w:r>
    </w:p>
    <w:p>
      <w:pPr>
        <w:pStyle w:val="TextBody"/>
        <w:bidi w:val="0"/>
        <w:spacing w:lineRule="auto" w:line="288" w:before="60" w:after="180"/>
        <w:jc w:val="both"/>
        <w:rPr/>
      </w:pPr>
      <w:r>
        <w:rPr>
          <w:rFonts w:ascii="Times New Roman;serif" w:hAnsi="Times New Roman;serif"/>
          <w:b/>
          <w:i/>
          <w:color w:val="000000"/>
          <w:sz w:val="20"/>
        </w:rPr>
        <w:t xml:space="preserve">Net income excluding LPT </w:t>
      </w:r>
      <w:r>
        <w:rPr>
          <w:rFonts w:ascii="Times New Roman;serif" w:hAnsi="Times New Roman;serif"/>
          <w:b w:val="false"/>
          <w:i/>
          <w:color w:val="000000"/>
          <w:sz w:val="20"/>
        </w:rPr>
        <w:t xml:space="preserve">(see Page 3 for calculations). </w:t>
      </w:r>
      <w:r>
        <w:rPr>
          <w:rFonts w:ascii="Times New Roman;serif" w:hAnsi="Times New Roman;serif"/>
          <w:b w:val="false"/>
          <w:color w:val="000000"/>
          <w:sz w:val="20"/>
        </w:rPr>
        <w:t>Management believes that these performance and underwriting measures are widely used by our investors, analysts and other interested parties.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5396</Words>
  <Characters>29465</Characters>
  <CharactersWithSpaces>34118</CharactersWithSpaces>
  <Paragraphs>1399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