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As filed with the U.S. Securities and Exchange Commission on May 8, 2026</w:t>
      </w:r>
    </w:p>
    <w:p>
      <w:pPr>
        <w:pStyle w:val="TextBody"/>
        <w:bidi w:val="0"/>
        <w:spacing w:lineRule="auto" w:line="288" w:before="0" w:after="60"/>
        <w:jc w:val="right"/>
        <w:rPr>
          <w:rFonts w:ascii="Times New Roman;serif" w:hAnsi="Times New Roman;serif"/>
          <w:b/>
          <w:color w:val="000000"/>
          <w:sz w:val="20"/>
        </w:rPr>
      </w:pPr>
      <w:r>
        <w:rPr>
          <w:rFonts w:ascii="Times New Roman;serif" w:hAnsi="Times New Roman;serif"/>
          <w:b/>
          <w:color w:val="000000"/>
          <w:sz w:val="20"/>
        </w:rPr>
        <w:t>Registration No. 333-</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S-3</w:t>
      </w:r>
    </w:p>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REGISTRATION STATEMENT UNDER THE SECURITIES ACT OF 1933</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EMPLOYERS HOLDINGS,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48" w:type="dxa"/>
        <w:jc w:val="center"/>
        <w:tblInd w:w="0" w:type="dxa"/>
        <w:tblLayout w:type="fixed"/>
        <w:tblCellMar>
          <w:top w:w="28" w:type="dxa"/>
          <w:left w:w="28" w:type="dxa"/>
          <w:bottom w:w="28" w:type="dxa"/>
          <w:right w:w="28" w:type="dxa"/>
        </w:tblCellMar>
      </w:tblPr>
      <w:tblGrid>
        <w:gridCol w:w="1154"/>
        <w:gridCol w:w="1015"/>
        <w:gridCol w:w="1025"/>
        <w:gridCol w:w="1126"/>
        <w:gridCol w:w="1126"/>
        <w:gridCol w:w="1602"/>
      </w:tblGrid>
      <w:tr>
        <w:trPr/>
        <w:tc>
          <w:tcPr>
            <w:tcW w:w="115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Nevada</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04-3850065</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(State or other jurisdiction </w:t>
              <w:br/>
              <w:t>of incorporation or organization)</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(I.R.S. Employer 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5340 Kietzke Lane, Suite 202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Nevada 89511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(888) 682-6671</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(Address, including zip code, and telephone number, including area code, of registrant's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A. Pedraja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Vice President,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Employers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5340 Kietzke Lane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Suite 202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Reno, Nevada 89511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(888) 682-6671</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(Name, address, including zip code, and telephone number, including area code, of agent for service)</w:t>
      </w:r>
    </w:p>
    <w:p>
      <w:pPr>
        <w:pStyle w:val="TextBody"/>
        <w:bidi w:val="0"/>
        <w:spacing w:lineRule="auto" w:line="288" w:before="0" w:after="60"/>
        <w:jc w:val="center"/>
        <w:rPr>
          <w:rFonts w:ascii="Times New Roman;serif" w:hAnsi="Times New Roman;serif"/>
          <w:b w:val="false"/>
          <w:i/>
          <w:color w:val="000000"/>
          <w:sz w:val="20"/>
        </w:rPr>
      </w:pPr>
      <w:r>
        <w:rPr>
          <w:rFonts w:ascii="Times New Roman;serif" w:hAnsi="Times New Roman;serif"/>
          <w:b w:val="false"/>
          <w:i/>
          <w:color w:val="000000"/>
          <w:sz w:val="20"/>
        </w:rPr>
        <w:t>Copies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Sara M. von Althann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Sidley Austin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1501 K Street, N.W.</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20005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(202) 736-2000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From time to time after the effective date of this Registration Statement.</w: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(Approximate date of commencement of proposed sale to the public)</w:t>
      </w:r>
    </w:p>
    <w:p>
      <w:pPr>
        <w:pStyle w:val="TextBody"/>
        <w:bidi w:val="0"/>
        <w:spacing w:lineRule="auto" w:line="288" w:before="0" w:after="60"/>
        <w:jc w:val="left"/>
        <w:rPr/>
      </w:pPr>
      <w:r>
        <w:rPr>
          <w:rFonts w:ascii="Times New Roman;serif" w:hAnsi="Times New Roman;serif"/>
          <w:b w:val="false"/>
          <w:color w:val="000000"/>
          <w:sz w:val="18"/>
        </w:rPr>
        <w:t>If the only securities being registered on this Form are being offered pursuant to dividend or interest reinvestment plans, please check the following box:</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color w:val="000000"/>
        </w:rPr>
        <w:t>☑</w:t>
      </w:r>
    </w:p>
    <w:p>
      <w:pPr>
        <w:pStyle w:val="TextBody"/>
        <w:bidi w:val="0"/>
        <w:spacing w:lineRule="auto" w:line="288" w:before="0" w:after="60"/>
        <w:jc w:val="left"/>
        <w:rPr/>
      </w:pPr>
      <w:r>
        <w:rPr>
          <w:rFonts w:ascii="Times New Roman;serif" w:hAnsi="Times New Roman;serif"/>
          <w:b w:val="false"/>
          <w:color w:val="000000"/>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color w:val="000000"/>
        </w:rPr>
        <w:t>☐</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78" w:type="dxa"/>
        <w:jc w:val="left"/>
        <w:tblInd w:w="0" w:type="dxa"/>
        <w:tblLayout w:type="fixed"/>
        <w:tblCellMar>
          <w:top w:w="28" w:type="dxa"/>
          <w:left w:w="28" w:type="dxa"/>
          <w:bottom w:w="28" w:type="dxa"/>
          <w:right w:w="28" w:type="dxa"/>
        </w:tblCellMar>
      </w:tblPr>
      <w:tblGrid>
        <w:gridCol w:w="619"/>
        <w:gridCol w:w="544"/>
        <w:gridCol w:w="546"/>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60"/>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6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2"/>
        </w:rPr>
      </w:pPr>
      <w:r>
        <w:rPr>
          <w:rFonts w:ascii="Times New Roman;serif" w:hAnsi="Times New Roman;serif"/>
          <w:b/>
          <w:color w:val="000000"/>
          <w:sz w:val="22"/>
        </w:rPr>
        <w:t>Prospectus</w:t>
      </w:r>
    </w:p>
    <w:p>
      <w:pPr>
        <w:pStyle w:val="TextBody"/>
        <w:bidi w:val="0"/>
        <w:spacing w:before="0" w:after="180"/>
        <w:jc w:val="center"/>
        <w:rPr/>
      </w:pPr>
      <w:r>
        <w:rPr/>
        <w:drawing>
          <wp:inline distT="0" distB="0" distL="0" distR="0">
            <wp:extent cx="1828800" cy="3524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28800" cy="35242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Employers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Preferred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Debt Securities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Depositary Shares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Purchase Contracts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Purchase Units </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issue securities from time to time in one or more offerings. This prospectus describes the general terms of these securities and the general manner in which these securities will be offered. We will provide the specific terms of these securities in supplements to this prospectus. Any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common stock is listed on the New York Stock Exchange under the symbol EIG.</w:t>
      </w:r>
    </w:p>
    <w:p>
      <w:pPr>
        <w:pStyle w:val="TextBody"/>
        <w:bidi w:val="0"/>
        <w:spacing w:lineRule="auto" w:line="288"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last reported sale price of our common stock on the New York Stock Exchange on May 7, 2026, was $42.00 per share.</w:t>
      </w:r>
    </w:p>
    <w:p>
      <w:pPr>
        <w:pStyle w:val="TextBody"/>
        <w:bidi w:val="0"/>
        <w:spacing w:lineRule="auto" w:line="288" w:before="0" w:after="180"/>
        <w:ind w:left="0" w:right="0" w:firstLine="720"/>
        <w:jc w:val="left"/>
        <w:rPr/>
      </w:pPr>
      <w:r>
        <w:rPr>
          <w:rFonts w:ascii="Times New Roman;serif" w:hAnsi="Times New Roman;serif"/>
          <w:b/>
          <w:color w:val="000000"/>
          <w:sz w:val="24"/>
        </w:rPr>
        <w:t>Investing in these securities involves certain risks. See the risks and uncertainties described under the heading “</w:t>
      </w:r>
      <w:hyperlink w:anchor="iba753d5ecc2d4a138f3c821625b5481f_384">
        <w:r>
          <w:rPr>
            <w:rStyle w:val="InternetLink"/>
            <w:rFonts w:ascii="Times New Roman;serif" w:hAnsi="Times New Roman;serif"/>
            <w:b/>
            <w:color w:val="0000FF"/>
            <w:sz w:val="24"/>
            <w:u w:val="single"/>
          </w:rPr>
          <w:t>Risk Factors</w:t>
        </w:r>
      </w:hyperlink>
      <w:r>
        <w:rPr>
          <w:color w:val="000000"/>
        </w:rPr>
        <w:t xml:space="preserve">” </w:t>
      </w:r>
      <w:r>
        <w:rPr>
          <w:rFonts w:ascii="Times New Roman;serif" w:hAnsi="Times New Roman;serif"/>
          <w:b/>
          <w:color w:val="000000"/>
          <w:sz w:val="24"/>
        </w:rPr>
        <w:t xml:space="preserve">starting on page </w:t>
      </w:r>
      <w:hyperlink w:anchor="iba753d5ecc2d4a138f3c821625b5481f_384">
        <w:r>
          <w:rPr>
            <w:rStyle w:val="InternetLink"/>
            <w:rFonts w:ascii="Times New Roman;serif" w:hAnsi="Times New Roman;serif"/>
            <w:b/>
            <w:color w:val="0000FF"/>
            <w:sz w:val="24"/>
            <w:u w:val="single"/>
          </w:rPr>
          <w:t>5</w:t>
        </w:r>
      </w:hyperlink>
      <w:r>
        <w:rPr>
          <w:color w:val="000000"/>
        </w:rPr>
        <w:t xml:space="preserve"> </w:t>
      </w:r>
      <w:r>
        <w:rPr>
          <w:rFonts w:ascii="Times New Roman;serif" w:hAnsi="Times New Roman;serif"/>
          <w:b/>
          <w:color w:val="000000"/>
          <w:sz w:val="24"/>
        </w:rPr>
        <w:t>of this prospectus and under similar headings included in any applicable prospectus supplement or incorporated by reference into this prospectus or any applicable prospectus supplement for a discussion of the factors you should carefully consider before deciding to purchase these securities.</w:t>
      </w:r>
    </w:p>
    <w:p>
      <w:pPr>
        <w:pStyle w:val="TextBody"/>
        <w:bidi w:val="0"/>
        <w:spacing w:lineRule="auto" w:line="288" w:before="0" w:after="180"/>
        <w:ind w:left="0" w:right="0" w:firstLine="720"/>
        <w:jc w:val="left"/>
        <w:rPr>
          <w:rFonts w:ascii="Times New Roman;serif" w:hAnsi="Times New Roman;serif"/>
          <w:b/>
          <w:color w:val="000000"/>
          <w:sz w:val="24"/>
        </w:rPr>
      </w:pPr>
      <w:r>
        <w:rPr>
          <w:rFonts w:ascii="Times New Roman;serif" w:hAnsi="Times New Roman;serif"/>
          <w:b/>
          <w:color w:val="000000"/>
          <w:sz w:val="24"/>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The date of this prospectus is May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416" w:type="dxa"/>
        <w:jc w:val="left"/>
        <w:tblInd w:w="0" w:type="dxa"/>
        <w:tblLayout w:type="fixed"/>
        <w:tblCellMar>
          <w:top w:w="28" w:type="dxa"/>
          <w:left w:w="28" w:type="dxa"/>
          <w:bottom w:w="28" w:type="dxa"/>
          <w:right w:w="28" w:type="dxa"/>
        </w:tblCellMar>
      </w:tblPr>
      <w:tblGrid>
        <w:gridCol w:w="2188"/>
        <w:gridCol w:w="1925"/>
        <w:gridCol w:w="1931"/>
        <w:gridCol w:w="109"/>
        <w:gridCol w:w="109"/>
        <w:gridCol w:w="154"/>
      </w:tblGrid>
      <w:tr>
        <w:trPr/>
        <w:tc>
          <w:tcPr>
            <w:tcW w:w="2188"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10">
              <w:r>
                <w:rPr>
                  <w:rStyle w:val="InternetLink"/>
                  <w:rFonts w:ascii="Times New Roman;serif" w:hAnsi="Times New Roman;serif"/>
                  <w:b w:val="false"/>
                  <w:color w:val="0000FF"/>
                  <w:sz w:val="20"/>
                  <w:u w:val="single"/>
                </w:rPr>
                <w:t>ABOUT THIS PROSPECTUS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10">
              <w:r>
                <w:rPr>
                  <w:rStyle w:val="InternetLink"/>
                  <w:rFonts w:ascii="Times New Roman;serif" w:hAnsi="Times New Roman;serif"/>
                  <w:b w:val="false"/>
                  <w:color w:val="0000FF"/>
                  <w:sz w:val="20"/>
                  <w:u w:val="single"/>
                </w:rPr>
                <w:t>1</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38">
              <w:r>
                <w:rPr>
                  <w:rStyle w:val="InternetLink"/>
                  <w:rFonts w:ascii="Times New Roman;serif" w:hAnsi="Times New Roman;serif"/>
                  <w:b w:val="false"/>
                  <w:color w:val="0000FF"/>
                  <w:sz w:val="20"/>
                  <w:u w:val="single"/>
                </w:rPr>
                <w:t>WHERE YOU CAN FIND MORE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38">
              <w:r>
                <w:rPr>
                  <w:rStyle w:val="InternetLink"/>
                  <w:rFonts w:ascii="Times New Roman;serif" w:hAnsi="Times New Roman;serif"/>
                  <w:b w:val="false"/>
                  <w:color w:val="0000FF"/>
                  <w:sz w:val="20"/>
                  <w:u w:val="single"/>
                </w:rPr>
                <w:t>1</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44">
              <w:r>
                <w:rPr>
                  <w:rStyle w:val="InternetLink"/>
                  <w:rFonts w:ascii="Times New Roman;serif" w:hAnsi="Times New Roman;serif"/>
                  <w:b w:val="false"/>
                  <w:color w:val="0000FF"/>
                  <w:sz w:val="20"/>
                  <w:u w:val="single"/>
                </w:rPr>
                <w:t>INCORPORATION BY REFERENCE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44">
              <w:r>
                <w:rPr>
                  <w:rStyle w:val="InternetLink"/>
                  <w:rFonts w:ascii="Times New Roman;serif" w:hAnsi="Times New Roman;serif"/>
                  <w:b w:val="false"/>
                  <w:color w:val="0000FF"/>
                  <w:sz w:val="20"/>
                  <w:u w:val="single"/>
                </w:rPr>
                <w:t>1</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13">
              <w:r>
                <w:rPr>
                  <w:rStyle w:val="InternetLink"/>
                  <w:rFonts w:ascii="Times New Roman;serif" w:hAnsi="Times New Roman;serif"/>
                  <w:b w:val="false"/>
                  <w:color w:val="0000FF"/>
                  <w:sz w:val="20"/>
                  <w:u w:val="single"/>
                </w:rPr>
                <w:t>FORWARD-LOOKING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13">
              <w:r>
                <w:rPr>
                  <w:rStyle w:val="InternetLink"/>
                  <w:rFonts w:ascii="Times New Roman;serif" w:hAnsi="Times New Roman;serif"/>
                  <w:b w:val="false"/>
                  <w:color w:val="0000FF"/>
                  <w:sz w:val="20"/>
                  <w:u w:val="single"/>
                </w:rPr>
                <w:t>3</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16">
              <w:r>
                <w:rPr>
                  <w:rStyle w:val="InternetLink"/>
                  <w:rFonts w:ascii="Times New Roman;serif" w:hAnsi="Times New Roman;serif"/>
                  <w:b w:val="false"/>
                  <w:color w:val="0000FF"/>
                  <w:sz w:val="20"/>
                  <w:u w:val="single"/>
                </w:rPr>
                <w:t>PROSPECTUS SUMMARY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16">
              <w:r>
                <w:rPr>
                  <w:rStyle w:val="InternetLink"/>
                  <w:rFonts w:ascii="Times New Roman;serif" w:hAnsi="Times New Roman;serif"/>
                  <w:b w:val="false"/>
                  <w:color w:val="0000FF"/>
                  <w:sz w:val="20"/>
                  <w:u w:val="single"/>
                </w:rPr>
                <w:t>4</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84">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84">
              <w:r>
                <w:rPr>
                  <w:rStyle w:val="InternetLink"/>
                  <w:rFonts w:ascii="Times New Roman;serif" w:hAnsi="Times New Roman;serif"/>
                  <w:b w:val="false"/>
                  <w:color w:val="0000FF"/>
                  <w:sz w:val="20"/>
                  <w:u w:val="single"/>
                </w:rPr>
                <w:t>5</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97">
              <w:r>
                <w:rPr>
                  <w:rStyle w:val="InternetLink"/>
                  <w:rFonts w:ascii="Times New Roman;serif" w:hAnsi="Times New Roman;serif"/>
                  <w:b w:val="false"/>
                  <w:color w:val="0000FF"/>
                  <w:sz w:val="20"/>
                  <w:u w:val="single"/>
                </w:rPr>
                <w:t>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97">
              <w:r>
                <w:rPr>
                  <w:rStyle w:val="InternetLink"/>
                  <w:rFonts w:ascii="Times New Roman;serif" w:hAnsi="Times New Roman;serif"/>
                  <w:b w:val="false"/>
                  <w:color w:val="0000FF"/>
                  <w:sz w:val="20"/>
                  <w:u w:val="single"/>
                </w:rPr>
                <w:t>6</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19">
              <w:r>
                <w:rPr>
                  <w:rStyle w:val="InternetLink"/>
                  <w:rFonts w:ascii="Times New Roman;serif" w:hAnsi="Times New Roman;serif"/>
                  <w:b w:val="false"/>
                  <w:color w:val="0000FF"/>
                  <w:sz w:val="20"/>
                  <w:u w:val="single"/>
                </w:rPr>
                <w:t>DESCRIPTION OF CAPITAL STOCK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19">
              <w:r>
                <w:rPr>
                  <w:rStyle w:val="InternetLink"/>
                  <w:rFonts w:ascii="Times New Roman;serif" w:hAnsi="Times New Roman;serif"/>
                  <w:b w:val="false"/>
                  <w:color w:val="0000FF"/>
                  <w:sz w:val="20"/>
                  <w:u w:val="single"/>
                </w:rPr>
                <w:t>7</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25">
              <w:r>
                <w:rPr>
                  <w:rStyle w:val="InternetLink"/>
                  <w:rFonts w:ascii="Times New Roman;serif" w:hAnsi="Times New Roman;serif"/>
                  <w:b w:val="false"/>
                  <w:color w:val="0000FF"/>
                  <w:sz w:val="20"/>
                  <w:u w:val="single"/>
                </w:rPr>
                <w:t>DESCRIPTION OF DEBT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25">
              <w:r>
                <w:rPr>
                  <w:rStyle w:val="InternetLink"/>
                  <w:rFonts w:ascii="Times New Roman;serif" w:hAnsi="Times New Roman;serif"/>
                  <w:b w:val="false"/>
                  <w:color w:val="0000FF"/>
                  <w:sz w:val="20"/>
                  <w:u w:val="single"/>
                </w:rPr>
                <w:t>10</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28">
              <w:r>
                <w:rPr>
                  <w:rStyle w:val="InternetLink"/>
                  <w:rFonts w:ascii="Times New Roman;serif" w:hAnsi="Times New Roman;serif"/>
                  <w:b w:val="false"/>
                  <w:color w:val="0000FF"/>
                  <w:sz w:val="20"/>
                  <w:u w:val="single"/>
                </w:rPr>
                <w:t>DESCRIPTION OF DEPOSITARY SHARES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28">
              <w:r>
                <w:rPr>
                  <w:rStyle w:val="InternetLink"/>
                  <w:rFonts w:ascii="Times New Roman;serif" w:hAnsi="Times New Roman;serif"/>
                  <w:b w:val="false"/>
                  <w:color w:val="0000FF"/>
                  <w:sz w:val="20"/>
                  <w:u w:val="single"/>
                </w:rPr>
                <w:t>18</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1">
              <w:r>
                <w:rPr>
                  <w:rStyle w:val="InternetLink"/>
                  <w:rFonts w:ascii="Times New Roman;serif" w:hAnsi="Times New Roman;serif"/>
                  <w:b w:val="false"/>
                  <w:color w:val="0000FF"/>
                  <w:sz w:val="20"/>
                  <w:u w:val="single"/>
                </w:rPr>
                <w:t>DESCRIPTION OF PURCHASE CONTRACTS AND PURCHASE UNITS.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1">
              <w:r>
                <w:rPr>
                  <w:rStyle w:val="InternetLink"/>
                  <w:rFonts w:ascii="Times New Roman;serif" w:hAnsi="Times New Roman;serif"/>
                  <w:b w:val="false"/>
                  <w:color w:val="0000FF"/>
                  <w:sz w:val="20"/>
                  <w:u w:val="single"/>
                </w:rPr>
                <w:t>21</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4">
              <w:r>
                <w:rPr>
                  <w:rStyle w:val="InternetLink"/>
                  <w:rFonts w:ascii="Times New Roman;serif" w:hAnsi="Times New Roman;serif"/>
                  <w:b w:val="false"/>
                  <w:color w:val="0000FF"/>
                  <w:sz w:val="20"/>
                  <w:u w:val="single"/>
                </w:rPr>
                <w:t>DESCRIPTION OF WARRANTS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4">
              <w:r>
                <w:rPr>
                  <w:rStyle w:val="InternetLink"/>
                  <w:rFonts w:ascii="Times New Roman;serif" w:hAnsi="Times New Roman;serif"/>
                  <w:b w:val="false"/>
                  <w:color w:val="0000FF"/>
                  <w:sz w:val="20"/>
                  <w:u w:val="single"/>
                </w:rPr>
                <w:t>22</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37">
              <w:r>
                <w:rPr>
                  <w:rStyle w:val="InternetLink"/>
                  <w:rFonts w:ascii="Times New Roman;serif" w:hAnsi="Times New Roman;serif"/>
                  <w:b w:val="false"/>
                  <w:color w:val="0000FF"/>
                  <w:sz w:val="20"/>
                  <w:u w:val="single"/>
                </w:rPr>
                <w:t>PLAN OF DISTRIBUTION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37">
              <w:r>
                <w:rPr>
                  <w:rStyle w:val="InternetLink"/>
                  <w:rFonts w:ascii="Times New Roman;serif" w:hAnsi="Times New Roman;serif"/>
                  <w:b w:val="false"/>
                  <w:color w:val="0000FF"/>
                  <w:sz w:val="20"/>
                  <w:u w:val="single"/>
                </w:rPr>
                <w:t>23</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40">
              <w:r>
                <w:rPr>
                  <w:rStyle w:val="InternetLink"/>
                  <w:rFonts w:ascii="Times New Roman;serif" w:hAnsi="Times New Roman;serif"/>
                  <w:b w:val="false"/>
                  <w:color w:val="0000FF"/>
                  <w:sz w:val="20"/>
                  <w:u w:val="single"/>
                </w:rPr>
                <w:t>LEGAL MATTERS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40">
              <w:r>
                <w:rPr>
                  <w:rStyle w:val="InternetLink"/>
                  <w:rFonts w:ascii="Times New Roman;serif" w:hAnsi="Times New Roman;serif"/>
                  <w:b w:val="false"/>
                  <w:color w:val="0000FF"/>
                  <w:sz w:val="20"/>
                  <w:u w:val="single"/>
                </w:rPr>
                <w:t>26</w:t>
              </w:r>
            </w:hyperlink>
          </w:p>
        </w:tc>
      </w:tr>
      <w:tr>
        <w:trPr/>
        <w:tc>
          <w:tcPr>
            <w:tcW w:w="6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43">
              <w:r>
                <w:rPr>
                  <w:rStyle w:val="InternetLink"/>
                  <w:rFonts w:ascii="Times New Roman;serif" w:hAnsi="Times New Roman;serif"/>
                  <w:b w:val="false"/>
                  <w:color w:val="0000FF"/>
                  <w:sz w:val="20"/>
                  <w:u w:val="single"/>
                </w:rPr>
                <w:t>EXPERTS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753d5ecc2d4a138f3c821625b5481f_43">
              <w:r>
                <w:rPr>
                  <w:rStyle w:val="InternetLink"/>
                  <w:rFonts w:ascii="Times New Roman;serif" w:hAnsi="Times New Roman;serif"/>
                  <w:b w:val="false"/>
                  <w:color w:val="0000FF"/>
                  <w:sz w:val="20"/>
                  <w:u w:val="singl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which we refer to as the “SEC” or the “Commission,” utilizing a “shelf” registration process. Under this shelf registration process, we may from time to time sell any combination of the securities described in this prospectus in one or more offerings.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that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applicable prospectus supplement together with the additional information described under the heading “Where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that contained, or incorporated by reference, in this prospectus, any applicable prospectus supplement or in any related free writing prospectus filed by us with the SEC.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references in this prospectus to “we,” “our,” “us,” the “Company,” “EHI” or similar terms refer to Employers Holdings, Inc., a Nevada corporation, together with its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over the Internet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Copies of certain information filed by us with the SEC are also available on our website at </w:t>
      </w:r>
      <w:r>
        <w:rPr>
          <w:rFonts w:ascii="Times New Roman;serif" w:hAnsi="Times New Roman;serif"/>
          <w:b w:val="false"/>
          <w:i/>
          <w:color w:val="000000"/>
          <w:sz w:val="20"/>
        </w:rPr>
        <w:t>www.employers.com</w:t>
      </w:r>
      <w:r>
        <w:rPr>
          <w:rFonts w:ascii="Times New Roman;serif" w:hAnsi="Times New Roman;serif"/>
          <w:b w:val="false"/>
          <w:color w:val="000000"/>
          <w:sz w:val="20"/>
        </w:rPr>
        <w:t>. Information accessible on or through our website is not a part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subsidiaries and the securities that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prospectus to evaluate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Annual Report on Form 10-K for the fiscal year ended December 31, 2025, filed with the SEC on </w:t>
      </w:r>
      <w:hyperlink r:id="rId3">
        <w:r>
          <w:rPr>
            <w:rStyle w:val="InternetLink"/>
            <w:rFonts w:ascii="Times New Roman;serif" w:hAnsi="Times New Roman;serif"/>
            <w:b w:val="false"/>
            <w:color w:val="0000FF"/>
            <w:sz w:val="20"/>
            <w:u w:val="single"/>
          </w:rPr>
          <w:t>February 26, 2026</w:t>
        </w:r>
      </w:hyperlink>
      <w:r>
        <w:rPr>
          <w:rFonts w:ascii="Times New Roman;serif" w:hAnsi="Times New Roman;serif"/>
          <w:b w:val="false"/>
          <w:color w:val="000000"/>
          <w:sz w:val="20"/>
        </w:rPr>
        <w:t>;</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included in our definitive proxy statement on Schedule 14A for our 2026 Annual Meeting of Stockholders, filed with the SEC on </w:t>
      </w:r>
      <w:hyperlink r:id="rId4">
        <w:r>
          <w:rPr>
            <w:rStyle w:val="InternetLink"/>
          </w:rPr>
          <w:t xml:space="preserve">April </w:t>
        </w:r>
      </w:hyperlink>
      <w:hyperlink r:id="rId5">
        <w:r>
          <w:rPr>
            <w:rStyle w:val="InternetLink"/>
          </w:rPr>
          <w:t>16</w:t>
        </w:r>
      </w:hyperlink>
      <w:hyperlink r:id="rId6">
        <w:r>
          <w:rPr>
            <w:rStyle w:val="InternetLink"/>
          </w:rPr>
          <w:t>, 2026</w:t>
        </w:r>
      </w:hyperlink>
      <w:r>
        <w:rPr>
          <w:rFonts w:ascii="Times New Roman;serif" w:hAnsi="Times New Roman;serif"/>
          <w:b w:val="false"/>
          <w:color w:val="000000"/>
          <w:sz w:val="20"/>
        </w:rPr>
        <w:t>, to the extent incorporated by reference in Part III of our Annual Report on Form 10-K for the fiscal year ended December 31,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Quarterly Report on Form 10-Q for the fiscal quarter ended March 31, 2026, filed with the SEC on </w:t>
      </w:r>
      <w:hyperlink r:id="rId7">
        <w:r>
          <w:rPr>
            <w:rStyle w:val="InternetLink"/>
          </w:rPr>
          <w:t xml:space="preserve">May </w:t>
        </w:r>
      </w:hyperlink>
      <w:hyperlink r:id="rId8">
        <w:r>
          <w:rPr>
            <w:rStyle w:val="InternetLink"/>
          </w:rPr>
          <w:t>1</w:t>
        </w:r>
      </w:hyperlink>
      <w:hyperlink r:id="rId9">
        <w:r>
          <w:rPr>
            <w:rStyle w:val="InternetLink"/>
          </w:rPr>
          <w:t>,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Current Reports on Form 8-K filed with the SEC on </w:t>
      </w:r>
      <w:hyperlink r:id="rId10">
        <w:r>
          <w:rPr>
            <w:rStyle w:val="InternetLink"/>
            <w:rFonts w:ascii="Times New Roman;serif" w:hAnsi="Times New Roman;serif"/>
            <w:b w:val="false"/>
            <w:color w:val="0000FF"/>
            <w:sz w:val="20"/>
            <w:u w:val="single"/>
          </w:rPr>
          <w:t>February 19, 2026</w:t>
        </w:r>
      </w:hyperlink>
      <w:r>
        <w:rPr>
          <w:color w:val="000000"/>
        </w:rPr>
        <w:t xml:space="preserve"> </w:t>
      </w:r>
      <w:r>
        <w:rPr>
          <w:rFonts w:ascii="Times New Roman;serif" w:hAnsi="Times New Roman;serif"/>
          <w:b w:val="false"/>
          <w:color w:val="000000"/>
          <w:sz w:val="20"/>
        </w:rPr>
        <w:t xml:space="preserve">and </w:t>
      </w:r>
      <w:hyperlink r:id="rId11">
        <w:r>
          <w:rPr>
            <w:rStyle w:val="InternetLink"/>
            <w:rFonts w:ascii="Times New Roman;serif" w:hAnsi="Times New Roman;serif"/>
            <w:b w:val="false"/>
            <w:color w:val="0000FF"/>
            <w:sz w:val="20"/>
            <w:u w:val="single"/>
          </w:rPr>
          <w:t>April 29,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capital stock contained in the Registration Statement on Form 8-A relating thereto, filed on January 3, 2007, as amended by the description of our capital stock contained in </w:t>
      </w:r>
      <w:hyperlink r:id="rId12">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2019, and as further amended by any subsequent amendment or any report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all documents subsequently filed by us pursuant to Section 13(a), 13(c), 14 or 15(d) of the Exchange Act after the date of this prospectus and prior to the termination of the offering of securities to which this prospectus relates (in each case, other than those documents or the portions of those documents furnished pursuant to Items 2.02 or 7.01 of any Current Report on Form 8-K, and, except as may be noted in any such Form 8-K, exhibits filed on such form that are related to such information), shall be deemed to be incorporated by reference into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at no cost, by writing or telephoning us at the following address: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Employers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5340 Kietzke Lane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Suite 202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Reno, Nevada 89511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(775) 327-2706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prospectus, any prospectus supplement, any free-writing prospectus and the documents we incorporate by reference in this prospectus the Company and its management discuss and make statements based on currently available information regarding their intentions, beliefs, current expectations, and projections of, among other things, the Company's future performance, economic or market conditions, including current or future levels of inflation, potential implications of increased tariffs, changes in interest rates, labor market expectations, catastrophic events or geo-political conditions, legislative or regulatory actions or court decisions, business growth, retention rates, loss costs, claim trends and the impact of key business initiatives, future technologies and planned investments. Certain of these statements may constitute “forward-looking” statements as that term is defined in the Private Securities Litigation Reform Act of 1995. Forward-looking statements can be identified by the fact that they do not relate strictly to historical or current facts and are often identified by words such as “may,” “will,” “could,” “would,” “should,” “expect,” “plan,” “anticipate,” “target,” “project,” “intend,” “believe,” “estimate,” “predict,” “potential,” “pro forma,” “seek,” “likely,” or “continue,” or other comparable terminology and their negatives. The Company and its management caution investors that such forward-looking statements are not guarantees of future performance. Risks and uncertainties are inherent in the Company's future performance. Factors that could cause the Company's actual results to differ materially from those indicated by such forward-looking statements include, among other things, those discussed or identified from time to time in the Company's public filings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forward-looking statements are inherently uncertain as they are based on then-current expectations and assumptions concerning future events, and are subject to numerous known and unknown risks and uncertainties.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forward-looking statements in this prospectus, which speak only as of the date of this prospectus and are based upon information available to us at this time. Forward- looking statements are not guarantees of future performance. Except as required by applicable securities laws, the Company undertakes no obligation to publicly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 xml:space="preserve">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Employers Holdings, Inc. is a Nevada holding company that was incorporated in 2005 with insurance subsidiaries that are specialty providers of workers' compensation insurance and related services. Workers' compensation is provided under a statutory system wherein most employers are required to provide coverage for their employees' medical, disability, vocational rehabilitation, and/or death benefit costs for work-related injuries or illnesses. We provide workers' compensation insurance throughout the United States, with the exception of four states that are served exclusively by their state funds, and with a concentration in California, where approximately 46% of our business is generated. In February 2026, we launched a new excess workers’ compensation product that will be offered to self-insured enterprises in several jurisdictions across the United States. Our revenues are primarily comprised of net premiums earned, net investment income, and net realized and unrealized gains and losses on investments.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For guaranteed cost workers’ compensation, we believe we can price our policies at levels that are competitive and profitable over the long term given our expertise in underwriting and claims handling and our decades of data and experience. We target small to mid-sized businesses, as we believe this market is traditionally characterized by higher profitability and longer retention. For excess workers’ compensation, our approach is to deliver a flexible, data-driven solution that goes beyond traditional excess coverage by incorporating value-added services. We believe these services including improved organizational performance and reduced long-term loss costs will serve as a key competitive advantage in the self-insured market, differentiating us from carriers that offer coverage alone.</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business strategy is to pursue profitable growth opportunities across workers' compensation insurance market cycles, to maximize investment earnings within the parameters of prudent portfolio management, to maintain a strong equity capital position at all times, and to deliver long-term value to our shareholders. We pursue profitable growth opportunities by focusing on disciplined underwriting and claims management, utilizing medical provider networks designed to produce superior medical and indemnity outcomes, establishing and maintaining strong, long-term relationships with traditional and specialty insurance agencies, developing alternative distribution channels, and offering direct-to-consumer workers' compensation insurance. We believe we have a cost-effective and scalable information technology infrastructure that complements our geographic reach and business model. We continue to invest in technology to automate business processes and further develop our data analytics and artificial intelligence capabilities, which we believe will enable us to reduce our operating costs over the long-term and support our future needs. We believe our technology is a strategic advantage that saves our distribution partners and our policyholders considerable time and maintains our competitiveness in our target markets. We continue to execute ongoing business initiatives focused on achieving process excellence and efficiency, as well as delivering self-service options to policyholders, agents, and injured workers. We are also actively pursuing strategies to diversify our risk exposure across geographies and economic sectors, expand our risk appetite, and broaden our product offerings.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rPr>
        <w:t xml:space="preserve">Employers Holdings, Inc. is a Nevada holding company that was incorporated in 2005. Our principal executive offices are located at 5340 Kietzke Lane, Suite 202, Reno, Nevada 89511 and our telephone number is (888) 682-6671. Our internet address is </w:t>
      </w:r>
      <w:r>
        <w:rPr>
          <w:rFonts w:ascii="Times New Roman;serif" w:hAnsi="Times New Roman;serif"/>
          <w:b w:val="false"/>
          <w:i/>
          <w:color w:val="000000"/>
          <w:sz w:val="20"/>
          <w:bdr w:val="single" w:sz="8" w:space="36" w:color="000000"/>
        </w:rPr>
        <w:t>www.employers.com</w:t>
      </w:r>
      <w:r>
        <w:rPr>
          <w:rFonts w:ascii="Times New Roman;serif" w:hAnsi="Times New Roman;serif"/>
          <w:b w:val="false"/>
          <w:color w:val="000000"/>
          <w:sz w:val="20"/>
          <w:bdr w:val="single" w:sz="8" w:space="36" w:color="000000"/>
        </w:rPr>
        <w:t>. Information contained in or accessible through our website is not part of or incorporated by reference into this prospectus. Our common stock is listed on the New York Stock Exchange under the symbol EIG.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Before investing in our securities, you should carefully consider the risk factors set forth in the “Risk Factors” section of our most recently filed Annual Report on Form 10-K and any subsequent Quarterly Reports on Form 10-Q, together with all the other information contained or incorporated by reference into this prospectus and any accompanying prospectus supplements, as may be amended, supplemented or superseded from time to time by other reports we file with the SEC in the future. The occurrence of any of the events described could materially and adversely affect our business, financial condition or results of operations, the market price of our common stock could decline, and you could lose all or part of your investment. Additional risks and uncertainties not presently known to us or that we currently deem immaterial may also impair our business operations and financial results and the value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intend to use the net proceeds from the sale of any securities offered under this prospectus for general corporate purposes unless otherwise indicated in the applicable prospectus supplement. General corporate purposes may include working capital, capital expenditures, the acquisition of companies or businesses, repayment and refinancing of debt, stock repurchases, and the payment of dividends. We intend to temporarily invest the net proceeds in short-term investments until they are used for their stated purpose. We have not determined the amount of net proceeds to be used specifically for such purposes. As a result, management will retain broad discretion over the allocation of the net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our capital stock is intended as a summary only. This description is based upon, and is qualified by reference to, our Amended and Restated Articles of Incorporation, which we refer to as the “Articles,” our Amended and Restated Bylaws, which we refer to as the “Bylaws,” and applicable provisions of Nevada corporate law. This summary is not complete. You should read the Articles and the Bylaws, which are filed as exhibits to the registration statement of which this prospectus forms a part, for the provisions that are important to you.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capital stock consists of 150,000,000 shares of common stock, par value $0.01 per share, and 25,000,000 shares of preferred stock, par value $0.01 per share. As of April 28, 2026, 18,242,921 shares of common stock and no shares of preferred stock were outstanding.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Articles, our Board of Directors is authorized to issue shares of preferred stock from time to time in one or more series and to determine the price, rights, preferences, privileges, and restrictions, including voting rights, of those shares without any further vote or action by the stockholders. When shares of preferred stock are issued, certain rights of the holders thereof may materially affect the rights of the holders of our common stock, including voting rights and preferences in respect of dividends and liquidation.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holders of our common stock are entitled to elect all directors and are entitled to one vote per share on all other matters coming before a stockholders' meeting. Our common stock has no cumulative voting rights. Accordingly, the holders of a majority of the shares of common stock entitled to vote in any election of directors can elect all of the directors standing for election, if they so choose. The holders of our common stock are entitled to participate equally in dividends when and as declared by our Board of Directors and in net assets on liquidation. The shares of common stock have no preemptive rights to participate in future stock offerings.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Certain Provisions of the Articles, Bylaws and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Articles and Bylaws include provisions that are intended to enhance the likelihood of continuity and stability in our Board of Directors and in its policies. These provisions might have the effect of delaying or preventing a change in control of EHI and may make more difficult the removal of incumbent management even if such transactions could be beneficial to the interests of stockholders. At the same time, these provision may have the effect of inducing any persons seeking to acquire or control us to negotiate terms acceptable to our Board of Directors. These provisions include: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Limitation of Director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Nevada Revised Statutes 78.138 provides that, with certain exceptions, a director or officer is not individually liable to the corporation or its stockholders for any damages as a result of any act or failure to act in such director's capacity as a director or officer unless it is proven that (1) such director's act or failure to act constituted a breach of such director's fiduciary duties as a director or officer; and (2) such director's breach of those duties involved intentional misconduct, fraud or a knowing violation of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permitted by Nevada law, the Articles include provisions that limit the liability of our directors for monetary damages to the fullest extent permissible under Nevada law. The Articles also provide that we may provide indemnification for directors and officers to the fullest extent permissible under Nevada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limitation of liability may not apply to liabilities arising under the federal securities laws and does not affect the availability of equitable remedies such as injunctive relief or rescission. In addition and in accordance with Nevada general corporate law, the Bylaws also permit us to secure insurance on behalf of any officer, director, employee or other agent for any liability arising out of his or her actions in such capacity, regardless of whether or not such actions would be permitted by us. We currently have and intend to maintain liability insurance for our directors and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Articles provide that we may provide indemnification for directors and officers to the fullest extent permissible under Nevada law. The Bylaws provide such indemnification for our “agents” upon a determination that such indemnification is proper under the circumstances. That determination is to be made by a majority of a quorum of disinterested directors, the court in which the proceeding is or was pending (upon application made by EHI, the party seeking indemnification or the attorney or other person rendering services in connection with the application), the stockholders, independent legal counsel in a written opinion if a quorum of disinterested directors so requests, or independent legal counsel in a written opinion if a quorum of disinterested directors cannot be obtained. The Bylaws define “agent” as any person who is or was a director or officer of EHI or who is or was serving at the request of EHI as a director, officer, employee or agent of another foreign or domestic company, partnership, joint venture, trust or other enterprise, or was a director, or officer of a foreign or domestic company which was a predecessor company of EHI or of another enterprise at the request of the predecessor company. The Bylaws provide that our Board of Directors may provide similar indemnification to employees and agents of EHI.</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Indemnification is not provided where: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person is liable pursuant to Nevada Revised Statutes 78.138;</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person did not act in good faith and in a manner which that person reasonably believed to be in or not opposed to our best interests;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a criminal proceeding, the person had reasonable cause to believe the conduct of the person was unlawful.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present, there is no pending litigation or proceeding involving any of our directors, executive officers, other employees or agents for which indemnification is sought, and we are not aware of any threatened litigation or proceeding that may result in a claim for such indemnification.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Anti-takeover Effects of Certain Insurance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own, directly or indirectly, all of the shares of stock of our insurance subsidiaries. Our insurance subsidiaries are domiciled in California, Florida, Nevada, and New York. The insurance laws of these states generally require that any person seeking to acquire control of a domestic insurance company obtain the prior approval of the state's insurance commissioner. In California, Florida, Nevada, and New York, “control” is presumed to exist through the direct or indirect ownership of 10% or more of the voting securities of a domestic insurance company or of any entity that controls a domestic insurance company. In addition, insurance laws in many states in which we are licensed require pre-notification to the state's insurance commissioner of a change in control of a non-domestic insurance company licensed in those states. Because we have insurance subsidiaries domiciled in California, Florida, Nevada, and New York, any transaction that would constitute a change in control of us would generally require the party attempting to acquire control to obtain the prior approval of the insurance commissioners of these states and may require pre-notification of the change of control in these or other states in which we are licensed to transact business. The time required to obtain these approvals may result in a material delay of, or deter, any such transaction. These laws may discourage potential acquisition proposals or tender offers, and may delay, deter, or prevent a change of control, even if the acquisition proposal or tender offer is favorable to our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Anti-takeover Effects of Nevada Law, the Articles and the Bylaws</w:t>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Articles and Bylaws include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eliminating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permitting our Board of Directors to issue preferred stock in one or more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imposing advance notice requirements for nominations for election to our Board of Directors or for proposing matters that can be acted upon by stockholders at the stockholder meetings; and</w:t>
      </w: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prohibiting stockholder action by written consent, thereby limiting stockholder action to that taken at an annual or special meeting of our stockholders;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 xml:space="preserve">providing that Nevada courts shall be the exclusive forum for litigation, including litigation relating to the internal affairs of the Company (including derivative actions), unless the Company consents in writing to the selection of an alternative forum.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provisions could have the effect of discouraging a future takeover attempt that is not approved by our Board of Directors, but that stockholders might consider favorable, and may limit stockholders' ability to bring litigation in a forum they may find preferable. Additionally, these provisions could limit the price that investors are willing to pay in the future for shares of our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Stock Exchange; 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New York Stock Exchange under the symbol EIG. The transfer agent and registrar for the common stock is EQ Shareowner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(expressed as a percentage of the principal amount) at which we will sell the debt securities, which may be sold at a discount below their stated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upon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 if any, to defer payment of interest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period or periods within which, the price or prices at which, and the terms and conditions upon which, we may redeem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relating to conversion or exchange of any debt securities of the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amounts of payment of principal of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any of our direct or indirect subsidiaries will guarantee the debt securities of that series, including the terms of subordination, if any, of such guarantees.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debt securities that provide for an amount less than their stated principal amount to be due and payable upon declaration of acceleration of their maturity pursuant to the terms of the indenture. We will provide </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with information on the federal income tax considerations and other special considerations applicable to any of these debt securities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and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Certificated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Global Debt Securities and Book-Entry System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global debt security representing book-entry debt securities will be deposited with, or on behalf of, the depositary, and registered in the name of the depositary or a nominee of the depositary.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any restrictive covenants applicable to any issue or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Protection in the Event of a Change of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and Sale of Assets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(as defined below), shall have occurred and be continuing.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Company provides other or substitute Events of Default in a prospectus supplement, “Event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principal of any security of that series at its maturity;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certain voluntary or involuntary events of bankruptcy, insolvency or reorganization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the trustee may refuse to perform any duty or exercise any of its rights or powers under the indenture unless the trustee receives indemnity satisfactory to it against any cost, liability or </w:t>
      </w: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covenants in the indenture described above under the heading “Consolidation, Merger and Sale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debt securities of, any series as permitted by the indenture;</w:t>
      </w: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redemption payment with respect to any debt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Defeasance of Debt Securities and Certain Covenants in Certain Circumstances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Defeasance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w:t>
      </w: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Defeasance of Certain 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refer to this as covenant defeasance. The conditions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deposit will not result in a breach or violation of, or constitute a default under the indenture or any other agreement to which we are a party;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Default or Event of Default with respect to the applicable series of debt securities shall have occurred or is continuing on the date of such deposit;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w:t>
      </w: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at our option, elect to offer fractional shares of preferred stock, which we refer to as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depositary agreement. Holders of depositary receipts agree to be bound by the deposit agreement, which requires holders to take certain actions such as filing proof of residence and paying certain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summary of terms of the depositary shares contained in this prospectus is not complete. You should refer to the form of the deposit agreement, the Articles and the certificate of designation for the applicable series of preferred stock that are, or will be, filed with the SEC.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Liquidation Preference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Withdrawal of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Charges of the Depositary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Amendment and Termination of the Deposit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outstanding depositary shares have been redeemed;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there has been a final distribution of the preferred stock in connection with our dissolution and such distribution has been made to all the holders of depositary shares.</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 of Liability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PURCHASE CONTRACTS AND PURCHASE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debt obligations of third parties, including U.S. treasury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securities described in the applicable prospectus supplement or any combination of the foregoing, securing the holders' obligations to purchase the common stock, preferred stock or depositary shares under the purchase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will describe the terms of the purchase contracts and purchase units, including, if applicable, collateral or depositary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warrants to purchase debt securities, preferred stock, depositary shares or common stock. We may offer warrants separately or together with one or more additional warrants, debt securities, preferred stock, depositary shares or common stock,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specific designation and aggregate number of, and the offering price at which we will issue,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are to be sold separately or with other securities as parts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applicable material U.S. federal income tax consequences;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identity of the warrant agent for the warrants and of any other depositaries, execution or paying agents, transfer agents, registrars or other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proposed listing, if any, of the warrants or any securities purchasable upon exercise of the warrants on any securities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any equity securities purchasable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aggregate principal amount, currency and terms of any debt securities that may be purchased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debt securities, preferred stock, depositary shares or common stock with which the warrants are issued and the number of warrants issued with each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from and after which any warrants issued as part of a unit and the related debt securities, preferred stock, depositary shares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preferred stock, the number of depositary shares or the number of shares of common stock purchasable upon exercise of a warrant and the price at which those shares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information with respect to book-entry procedures,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antidilution provisions, and other provisions for changes to or adjustment in the exercise price, of the warrants,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redemption or call provisions;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dealers;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directly to purchasers;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 combination of any of these methods of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may issue the securities as a dividend or distribution or in a subscription rights offering to our existing security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that may be changed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engage in at-the-market offerings into an existing trading market in accordance with Rule 415(a)(4) under the Securities Act. Underwriters, dealers and agents who may participate in any at-the-market offerings will be described in the applicable prospectus supplement relating thereto. In addition, we may enter into derivative transactions with third parties, or sell securities not covered by this prospectus to third parties in privately negotiated transactions. If the applicable prospectus supplement so indicates, in connection with those derivatives, then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they may use securities received from us in settlement of those derivatives to close out any related open borrowings of stock. The third party in these sale transactions will be an underwriter and will be identified in the applicable prospectus supplement. In addition, we may otherwise loan or pledge securities to a financial institution or other third party that in turn may sell the securities short using this prospectus and an applicable prospectus supplement. The financial institution or other third party may transfer its economic short position to investors in our securities or in connection with a concurrent offering of other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securities and any applicable restrictions.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with respect to the securities of a particular series will describe the terms of the offering of the securities,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of the agent or any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 offering or purchase price;</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the agent or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exchanges on which the securities will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Agents, underwriters, dealers and other persons may be entitled under agreements that they may enter into with us to indemnification by us against certain civil liabilities, including liabilities under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by an institution of the securities covered under that contract shall not at the time of delivery be prohibited under the laws of the jurisdiction to which that institution is subject;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also being sold to underwriters acting as principals for their own account, the underwriters shall have purchased such securities not sold for delayed delivery.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underwriters and other persons acting as our agents will not have any responsibility in respect of the validity or performance of delayed delivery 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maintain the market price of the securities above independent market levels. Any such underwriters are not required to engage in these activities and may end any of these activities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Rule 15c6-1 of the Exchange Act, trades in the secondary market generally are required to settle in one business day (T+1),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certain legal matters will be passed upon for us by Sidley Austin LLP, New York, New York. In addition, certain matters involving the laws of the State of Nevada will be passed upon for us by Mary Lynn Newman, Deputy General Counsel of EIG Services, Inc., Employers Assurance Company, Employers Compensation Insurance Company, Employers Insurance Company of Nevada, and Employers Preferred Insurance Company, each of which is an indirect subsidiary of the Company, as counsel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Employers Holdings, Inc. appearing in Employers Holdings, Inc.'s Annual Report (Form 10-K) for the year ended December 31, 2025 (including schedules appearing therein), and the effectiveness of Employers Holdings, Inc.'s internal control over financial reporting as of December 31, 2025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center"/>
        <w:rPr/>
      </w:pPr>
      <w:r>
        <w:rPr/>
        <w:drawing>
          <wp:inline distT="0" distB="0" distL="0" distR="0">
            <wp:extent cx="2057400" cy="400050"/>
            <wp:effectExtent l="0" t="0" r="0" b="0"/>
            <wp:docPr id="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 descr=""/>
                    <pic:cNvPicPr>
                      <a:picLocks noChangeAspect="1" noChangeArrowheads="1"/>
                    </pic:cNvPicPr>
                  </pic:nvPicPr>
                  <pic:blipFill>
                    <a:blip r:embed="rId13"/>
                    <a:stretch>
                      <a:fillRect/>
                    </a:stretch>
                  </pic:blipFill>
                  <pic:spPr bwMode="auto">
                    <a:xfrm>
                      <a:off x="0" y="0"/>
                      <a:ext cx="2057400" cy="400050"/>
                    </a:xfrm>
                    <a:prstGeom prst="rect">
                      <a:avLst/>
                    </a:prstGeom>
                  </pic:spPr>
                </pic:pic>
              </a:graphicData>
            </a:graphic>
          </wp:inline>
        </w:drawing>
      </w:r>
    </w:p>
    <w:p>
      <w:pPr>
        <w:pStyle w:val="TextBody"/>
        <w:bidi w:val="0"/>
        <w:spacing w:lineRule="auto" w:line="288" w:before="0" w:after="360"/>
        <w:jc w:val="center"/>
        <w:rPr>
          <w:rFonts w:ascii="Times New Roman;serif" w:hAnsi="Times New Roman;serif"/>
          <w:b/>
          <w:color w:val="000000"/>
          <w:sz w:val="36"/>
        </w:rPr>
      </w:pPr>
      <w:r>
        <w:rPr>
          <w:rFonts w:ascii="Times New Roman;serif" w:hAnsi="Times New Roman;serif"/>
          <w:b/>
          <w:color w:val="000000"/>
          <w:sz w:val="36"/>
        </w:rPr>
        <w:t>Employers Holdings,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COMMON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PREFERRED STOCK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DEBT SECURITIES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DEPOSITARY SHARES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PURCHASE CONTRACTS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PURCHASE UNITS </w:t>
      </w:r>
    </w:p>
    <w:p>
      <w:pPr>
        <w:pStyle w:val="TextBody"/>
        <w:bidi w:val="0"/>
        <w:spacing w:lineRule="auto" w:line="288" w:before="0" w:after="36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May 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33"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INFORMATION NOT REQUIRED IN THE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Set forth below is an estimate (except in the case of the registration fee) of the amount of fees and expenses to be incurred in connection with the issuance and distribution of the offered securities, other than underwriting discounts and commissions.</w:t>
      </w:r>
    </w:p>
    <w:tbl>
      <w:tblPr>
        <w:tblW w:w="3615" w:type="dxa"/>
        <w:jc w:val="left"/>
        <w:tblInd w:w="0" w:type="dxa"/>
        <w:tblLayout w:type="fixed"/>
        <w:tblCellMar>
          <w:top w:w="28" w:type="dxa"/>
          <w:left w:w="28" w:type="dxa"/>
          <w:bottom w:w="28" w:type="dxa"/>
          <w:right w:w="28" w:type="dxa"/>
        </w:tblCellMar>
      </w:tblPr>
      <w:tblGrid>
        <w:gridCol w:w="995"/>
        <w:gridCol w:w="873"/>
        <w:gridCol w:w="877"/>
        <w:gridCol w:w="279"/>
        <w:gridCol w:w="193"/>
        <w:gridCol w:w="398"/>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Amount </w:t>
              <w:br/>
              <w:t>to be paid</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and engraving</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services</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of registrant's counsel</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Trustee's fees and expenses</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Rating agency fees</w:t>
            </w:r>
          </w:p>
        </w:tc>
        <w:tc>
          <w:tcPr>
            <w:tcW w:w="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Miscellaneous</w:t>
            </w:r>
          </w:p>
        </w:tc>
        <w:tc>
          <w:tcPr>
            <w:tcW w:w="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*Deferred in reliance upon Rules 456(b) and 457(r).</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**These fees are calculated based on the securities offered and the number of issuances and accordingly cannot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Indemnification of Directors and Officers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78.7502 of the Nevada Revised Statutes permits a corporation to indemnify any person who was or is a party or is threatened to be made a party in any threatened, pending or completed action, suit or proceeding, whether civil, criminal, administrative or investigative (except an action by or in the right of the corporation), by reason of being or having been an officer, director, employee or agent of the corporation or serving in certain capacities at the request of the corporation. Indemnification may include attorneys' fees, judgments, fines and amounts paid in settlement actually and reasonably incurred by the person to be indemnified. A corporation may indemnify any person who was or is a party or is threatened to be made a party to any threatened, pending or completed action or suit by or in the right of the corporation to procure a judgment in its favor by reason of being or having been an officer, director, employee or agent of the corporation or serving in certain capacities at the request of the corporation except that indemnification may not be made for any claim, issue or matter as to which such a person has been finally adjudged by a court of competent jurisdiction to be liable to the corporation or for amounts paid in settlement to the corporation, unless and only to the extent that the court in which the action or suit was brought or other court of competent jurisdiction determines upon application that, in view of all the circumstances, the person is fairly and reasonably entitled to indemnity for such expenses as the court deems proper. In either case, however, to be entitled to indemnification, the person to be indemnified must not be found to have breached his or her fiduciary duties with such breach involving intentional misconduct, fraud or a knowing violation of the law or must have acted in good faith and in a manner which he or she reasonably believed to be in or not opposed to the best interests of the corporation and, with respect to any criminal action or proceeding, had no reasonable cause to believe his or her conduct was unlawful.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78.751 of the Nevada Revised Statutes also provides that to the extent that a director, officer, employee or agent of a corporation has been successful on the merits or otherwise in defense of any such action, he or she must be indemnified by the corporation against expenses, including attorneys' fees actually and reasonably incurred in connection with the defense.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Section 78.751 of the Nevada Revised Statutes permits a corporation, in its articles of incorporation, bylaws or other agreement, to provide for the payment of expenses incurred by an officer or director in defending any civil or criminal action, suit or proceeding as they are incurred and in advance of the final disposition of the action, suit or </w:t>
      </w: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proceeding, upon receipt of an undertaking to repay the amount if it is ultimately determined by a court of competent jurisdiction that the person is not entitled to indemnification.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78.752 of the Nevada Revised Statutes permits a corporation to purchase and maintain insurance or make other financial arrangements on behalf of the corporation's officers, directors, employees or agents, or any persons serving in certain capacities at the request of the corporation, for any liability and expenses incurred by them in their capacities as officers, directors, employees or agents or arising out of their status as such, whether or not the corporation has the authority to indemnify him, her or them against such liability and expenses.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Articles require us, in addition to any other rights of indemnification to which our officers or directors may be entitled, to pay the expenses incurred by our officers and directors in defending a civil or criminal action, suit or proceeding involving alleged acts or omissions of such officer or director in his or her official capacity as such expenses are incurred and in advance of the final disposition of the action, suit or proceeding, upon receipt of an undertaking to repay the amount if it is ultimately determined by a court of competent jurisdiction that he or she is not entitled to be indemnified by us. Additionally, the Bylaws require us, subject to certain exceptions, to indemnify our officers and directors to the fullest extent permitted by Nevada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at our expense, a policy of insurance that insures our directors and officers, subject to customary exclusions and deductions, against specified liabilities that may be incurred by such individuals in those capacities.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w:t>
      </w:r>
    </w:p>
    <w:tbl>
      <w:tblPr>
        <w:tblW w:w="10205" w:type="dxa"/>
        <w:jc w:val="left"/>
        <w:tblInd w:w="0" w:type="dxa"/>
        <w:tblLayout w:type="fixed"/>
        <w:tblCellMar>
          <w:top w:w="28" w:type="dxa"/>
          <w:left w:w="28" w:type="dxa"/>
          <w:bottom w:w="28" w:type="dxa"/>
          <w:right w:w="28" w:type="dxa"/>
        </w:tblCellMar>
      </w:tblPr>
      <w:tblGrid>
        <w:gridCol w:w="314"/>
        <w:gridCol w:w="277"/>
        <w:gridCol w:w="278"/>
        <w:gridCol w:w="109"/>
        <w:gridCol w:w="109"/>
        <w:gridCol w:w="109"/>
        <w:gridCol w:w="1231"/>
        <w:gridCol w:w="1122"/>
        <w:gridCol w:w="1079"/>
        <w:gridCol w:w="109"/>
        <w:gridCol w:w="109"/>
        <w:gridCol w:w="109"/>
        <w:gridCol w:w="175"/>
        <w:gridCol w:w="175"/>
        <w:gridCol w:w="176"/>
        <w:gridCol w:w="109"/>
        <w:gridCol w:w="109"/>
        <w:gridCol w:w="109"/>
        <w:gridCol w:w="302"/>
        <w:gridCol w:w="270"/>
        <w:gridCol w:w="271"/>
        <w:gridCol w:w="109"/>
        <w:gridCol w:w="109"/>
        <w:gridCol w:w="109"/>
        <w:gridCol w:w="230"/>
        <w:gridCol w:w="230"/>
        <w:gridCol w:w="231"/>
        <w:gridCol w:w="109"/>
        <w:gridCol w:w="109"/>
        <w:gridCol w:w="109"/>
        <w:gridCol w:w="369"/>
        <w:gridCol w:w="369"/>
        <w:gridCol w:w="309"/>
        <w:gridCol w:w="109"/>
        <w:gridCol w:w="109"/>
        <w:gridCol w:w="109"/>
        <w:gridCol w:w="242"/>
        <w:gridCol w:w="242"/>
        <w:gridCol w:w="351"/>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Herewith</w:t>
            </w:r>
          </w:p>
        </w:tc>
      </w:tr>
      <w:tr>
        <w:trPr/>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Depositary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Purchase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Purchase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 for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80"/>
                  <w:sz w:val="20"/>
                  <w:u w:val="single"/>
                </w:rPr>
                <w:t xml:space="preserve">Amended and Restated </w:t>
              </w:r>
            </w:hyperlink>
            <w:hyperlink r:id="rId15">
              <w:r>
                <w:rPr>
                  <w:rStyle w:val="InternetLink"/>
                  <w:rFonts w:ascii="Times New Roman;serif" w:hAnsi="Times New Roman;serif"/>
                  <w:b w:val="false"/>
                  <w:color w:val="000080"/>
                  <w:sz w:val="20"/>
                  <w:u w:val="single"/>
                </w:rPr>
                <w:t>Articles</w:t>
              </w:r>
            </w:hyperlink>
            <w:hyperlink r:id="rId16">
              <w:r>
                <w:rPr>
                  <w:rStyle w:val="InternetLink"/>
                  <w:rFonts w:ascii="Times New Roman;serif" w:hAnsi="Times New Roman;serif"/>
                  <w:b w:val="false"/>
                  <w:color w:val="000080"/>
                  <w:sz w:val="20"/>
                  <w:u w:val="single"/>
                </w:rPr>
                <w:t xml:space="preserve"> of Incorporation of Employers Holdings, Inc</w:t>
              </w:r>
            </w:hyperlink>
            <w:hyperlink r:id="rId17">
              <w:r>
                <w:rPr>
                  <w:rStyle w:val="InternetLink"/>
                  <w:rFonts w:ascii="Times New Roman;serif" w:hAnsi="Times New Roman;serif"/>
                  <w:b w:val="false"/>
                  <w:color w:val="000080"/>
                  <w:sz w:val="20"/>
                  <w:u w:val="single"/>
                </w:rPr>
                <w: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28, 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Amended and Restated Bylaws of Employers Holdings,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22,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sx3asrmay2026.htm">
              <w:r>
                <w:rPr>
                  <w:rStyle w:val="InternetLink"/>
                  <w:rFonts w:ascii="Times New Roman;serif" w:hAnsi="Times New Roman;serif"/>
                  <w:b w:val="false"/>
                  <w:color w:val="0000FF"/>
                  <w:sz w:val="20"/>
                  <w:u w:val="single"/>
                </w:rPr>
                <w:t>Form of Indenture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333-139092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January 18, 2007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Description of Capital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001-33245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Preferred Stock Certificate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Debt 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Depositary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Purchase Contract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Unit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Warrant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asrmay2026.htm">
              <w:r>
                <w:rPr>
                  <w:rStyle w:val="InternetLink"/>
                  <w:rFonts w:ascii="Times New Roman;serif" w:hAnsi="Times New Roman;serif"/>
                  <w:b w:val="false"/>
                  <w:color w:val="0000FF"/>
                  <w:sz w:val="20"/>
                  <w:u w:val="single"/>
                </w:rPr>
                <w:t>Opinion of Mary Lynn Newman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sx3asrmay2026.htm">
              <w:r>
                <w:rPr>
                  <w:rStyle w:val="InternetLink"/>
                  <w:rFonts w:ascii="Times New Roman;serif" w:hAnsi="Times New Roman;serif"/>
                  <w:b w:val="false"/>
                  <w:color w:val="000080"/>
                  <w:sz w:val="20"/>
                  <w:u w:val="single"/>
                </w:rPr>
                <w:t xml:space="preserve">Opinion of </w:t>
              </w:r>
            </w:hyperlink>
            <w:hyperlink w:anchor="exhibit52-sx3asrmay2026.htm">
              <w:r>
                <w:rPr>
                  <w:rStyle w:val="InternetLink"/>
                  <w:rFonts w:ascii="Times New Roman;serif" w:hAnsi="Times New Roman;serif"/>
                  <w:b w:val="false"/>
                  <w:color w:val="000080"/>
                  <w:sz w:val="20"/>
                  <w:u w:val="single"/>
                </w:rPr>
                <w:t>Sidley Austin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asrmay2026.htm">
              <w:r>
                <w:rPr>
                  <w:rStyle w:val="InternetLink"/>
                  <w:rFonts w:ascii="Times New Roman;serif" w:hAnsi="Times New Roman;serif"/>
                  <w:b w:val="false"/>
                  <w:color w:val="0000FF"/>
                  <w:sz w:val="20"/>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asrmay2026.htm">
              <w:r>
                <w:rPr>
                  <w:rStyle w:val="InternetLink"/>
                  <w:rFonts w:ascii="Times New Roman;serif" w:hAnsi="Times New Roman;serif"/>
                  <w:b w:val="false"/>
                  <w:color w:val="0000FF"/>
                  <w:sz w:val="20"/>
                  <w:u w:val="single"/>
                </w:rPr>
                <w:t>Consent of Mary Lynn Newman (included in the opinion filed as Exhibit 5.1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2-sx3asrmay2026.htm">
              <w:r>
                <w:rPr>
                  <w:rStyle w:val="InternetLink"/>
                  <w:rFonts w:ascii="Times New Roman;serif" w:hAnsi="Times New Roman;serif"/>
                  <w:b w:val="false"/>
                  <w:color w:val="0000FF"/>
                  <w:sz w:val="20"/>
                  <w:u w:val="single"/>
                </w:rPr>
                <w:t>Consent of Sidley Austin LLP (included in the opinion filed as Exhibit 5.2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753d5ecc2d4a138f3c821625b5481f_55">
              <w:r>
                <w:rPr>
                  <w:rStyle w:val="InternetLink"/>
                  <w:rFonts w:ascii="Times New Roman;serif" w:hAnsi="Times New Roman;serif"/>
                  <w:b w:val="false"/>
                  <w:color w:val="0000FF"/>
                  <w:sz w:val="20"/>
                  <w:u w:val="single"/>
                </w:rPr>
                <w:t>Power of Attorney (included on the signature page to this Registration Statement)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T-1 Statement of Eligibility of Trustee for Indenture under the Trust Indenture Act of 1939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mployersfilingfees.htm">
              <w:r>
                <w:rPr>
                  <w:rStyle w:val="InternetLink"/>
                  <w:rFonts w:ascii="Times New Roman;serif" w:hAnsi="Times New Roman;serif"/>
                  <w:b w:val="false"/>
                  <w:color w:val="0000FF"/>
                  <w:sz w:val="20"/>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if applicable, by amendment or incorporated by reference pursuant to Current Report on Form 8-K.</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pursuant to Section 305(b)(2) of the Trust Indenture Act of 1939,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 of 1933, as amended (the “Securities Act”);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this registration statement or any material change to such information in this registration statement;</w:t>
      </w:r>
    </w:p>
    <w:p>
      <w:pPr>
        <w:pStyle w:val="TextBody"/>
        <w:bidi w:val="0"/>
        <w:spacing w:lineRule="auto" w:line="288" w:before="0" w:after="180"/>
        <w:jc w:val="left"/>
        <w:rPr/>
      </w:pPr>
      <w:r>
        <w:rPr>
          <w:rFonts w:ascii="Times New Roman;serif" w:hAnsi="Times New Roman;serif"/>
          <w:b w:val="false"/>
          <w:i/>
          <w:color w:val="000000"/>
          <w:sz w:val="20"/>
        </w:rPr>
        <w:t>provided</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however</w:t>
      </w:r>
      <w:r>
        <w:rPr>
          <w:rFonts w:ascii="Times New Roman;serif" w:hAnsi="Times New Roman;serif"/>
          <w:b w:val="false"/>
          <w:color w:val="000000"/>
          <w:sz w:val="20"/>
        </w:rPr>
        <w:t>, that paragraphs (1)(i), (1)(ii) and (1)(iii) do not apply if the information required to be included in a post-effective 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(2)That,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 xml:space="preserve">offering thereof. </w:t>
      </w:r>
      <w:r>
        <w:rPr>
          <w:rFonts w:ascii="Times New Roman;serif" w:hAnsi="Times New Roman;serif"/>
          <w:b w:val="false"/>
          <w:i/>
          <w:color w:val="000000"/>
          <w:sz w:val="20"/>
        </w:rPr>
        <w:t>Provided, however</w:t>
      </w:r>
      <w:r>
        <w:rPr>
          <w:rFonts w:ascii="Times New Roman;serif" w:hAnsi="Times New Roman;serif"/>
          <w:b w:val="false"/>
          <w:color w:val="000000"/>
          <w:sz w:val="20"/>
        </w:rPr>
        <w:t xml:space="preserve">, that no statement made in a registration statement or prospectus that is part of the registration statement or </w:t>
      </w: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(i)any preliminary prospectus or prospectus of the undersigned registrant relating to the offering required to be filed pursuant to Rule 424;</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free writing prospectus relating to the offering prepared by or on behalf of the undersigned registrant or used or referred to by the undersigned registrant;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other communication that is an offer in the offering made by the undersigned registrant to the purchaser.</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(6)That,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0"/>
        </w:rPr>
        <w:t>bona fide</w:t>
      </w:r>
      <w:r>
        <w:rPr>
          <w:color w:val="000000"/>
        </w:rPr>
        <w:t xml:space="preserve"> </w:t>
      </w:r>
      <w:r>
        <w:rPr>
          <w:rFonts w:ascii="Times New Roman;serif" w:hAnsi="Times New Roman;serif"/>
          <w:b w:val="false"/>
          <w:color w:val="000000"/>
          <w:sz w:val="20"/>
        </w:rPr>
        <w:t>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Reno, State of Nevada, on May 8, 2026.</w:t>
      </w:r>
    </w:p>
    <w:tbl>
      <w:tblPr>
        <w:tblW w:w="5546" w:type="dxa"/>
        <w:jc w:val="left"/>
        <w:tblInd w:w="0" w:type="dxa"/>
        <w:tblLayout w:type="fixed"/>
        <w:tblCellMar>
          <w:top w:w="28" w:type="dxa"/>
          <w:left w:w="28" w:type="dxa"/>
          <w:bottom w:w="28" w:type="dxa"/>
          <w:right w:w="28" w:type="dxa"/>
        </w:tblCellMar>
      </w:tblPr>
      <w:tblGrid>
        <w:gridCol w:w="124"/>
        <w:gridCol w:w="109"/>
        <w:gridCol w:w="109"/>
        <w:gridCol w:w="236"/>
        <w:gridCol w:w="236"/>
        <w:gridCol w:w="236"/>
        <w:gridCol w:w="311"/>
        <w:gridCol w:w="311"/>
        <w:gridCol w:w="311"/>
        <w:gridCol w:w="831"/>
        <w:gridCol w:w="831"/>
        <w:gridCol w:w="831"/>
        <w:gridCol w:w="311"/>
        <w:gridCol w:w="311"/>
        <w:gridCol w:w="4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EMPLOYERS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Pedraja</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A. Pedraja</w:t>
            </w:r>
          </w:p>
        </w:tc>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II-6</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hereby constitutes and appoints Katherine H. Antonello and Michael A. Pedraja, or either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registration statements filed pursuant to Rule 462 under the Securities Act, and to file the same, with all exhibits thereto, and other documents in connection therewith, with the Securities and Exchange Commission, and does hereby grant unto such attorneys-in-fact and agents, and each of them, full power and authority to do and perform each and every act and thing requisite and necessary to be done in and about the foregoing, as fully to all intents and purposes as he or she might or could do in person, hereby ratifying and confirming all that said attorneys-in-fact and agents, or either of them, or their or his or her substitutes, may lawfully do or cause to be done by virtue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948"/>
        <w:gridCol w:w="785"/>
        <w:gridCol w:w="794"/>
        <w:gridCol w:w="109"/>
        <w:gridCol w:w="109"/>
        <w:gridCol w:w="109"/>
        <w:gridCol w:w="2005"/>
        <w:gridCol w:w="1941"/>
        <w:gridCol w:w="1982"/>
        <w:gridCol w:w="109"/>
        <w:gridCol w:w="109"/>
        <w:gridCol w:w="109"/>
        <w:gridCol w:w="317"/>
        <w:gridCol w:w="317"/>
        <w:gridCol w:w="462"/>
      </w:tblGrid>
      <w:tr>
        <w:trPr/>
        <w:tc>
          <w:tcPr>
            <w:tcW w:w="9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5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Jeanne L. Mockard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Jeanne L. Mockard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Katherine H. Antonello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Katherine H. Antonello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Michael A. Pedraja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Michael A. Pedraja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Matthew R. Pollak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and Corporate Controller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Matthew R. Pollak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João (John) M. de Figueiredo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João (John) M. de Figueiredo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Barbara 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Barbara A. Higgins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J. McColgan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J. McColgan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Alex Perez-Tenessa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Alex Perez-Tenessa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Marvin Pestcoe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Marvin Pestcoe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 Sorenson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8, 2026</w:t>
            </w:r>
          </w:p>
        </w:tc>
      </w:tr>
      <w:tr>
        <w:trPr/>
        <w:tc>
          <w:tcPr>
            <w:tcW w:w="2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Steven P. Sorenson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employersfilingfees.htm"/>
      <w:bookmarkStart w:id="1" w:name="ksemployersfilingfees"/>
      <w:bookmarkStart w:id="2" w:name="employersfilingfees.htm"/>
      <w:bookmarkStart w:id="3" w:name="ksemployersfilingfees"/>
      <w:bookmarkEnd w:id="2"/>
      <w:bookmarkEnd w:id="3"/>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II-7</w:t>
                      </w:r>
                    </w:p>
                  </w:txbxContent>
                </v:textbox>
                <w10:wrap type="none"/>
              </v:rect>
            </w:pict>
          </mc:Fallback>
        </mc:AlternateContent>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Employers Holdings,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074" w:type="dxa"/>
        <w:jc w:val="left"/>
        <w:tblInd w:w="0" w:type="dxa"/>
        <w:tblLayout w:type="fixed"/>
        <w:tblCellMar>
          <w:top w:w="28" w:type="dxa"/>
          <w:left w:w="28" w:type="dxa"/>
          <w:bottom w:w="28" w:type="dxa"/>
          <w:right w:w="28" w:type="dxa"/>
        </w:tblCellMar>
      </w:tblPr>
      <w:tblGrid>
        <w:gridCol w:w="1126"/>
        <w:gridCol w:w="226"/>
        <w:gridCol w:w="946"/>
        <w:gridCol w:w="114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4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07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Preferred Stock, par value $0.01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141" w:type="dxa"/>
            <w:tcBorders/>
            <w:shd w:fill="E7E7E2" w:val="clear"/>
            <w:vAlign w:val="center"/>
          </w:tcPr>
          <w:p>
            <w:pPr>
              <w:pStyle w:val="TableContents"/>
              <w:bidi w:val="0"/>
              <w:spacing w:before="0" w:after="283"/>
              <w:jc w:val="left"/>
              <w:rPr/>
            </w:pPr>
            <w:r>
              <w:rPr/>
              <w:t xml:space="preserve">Depositary Shares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Debt </w:t>
            </w:r>
          </w:p>
        </w:tc>
        <w:tc>
          <w:tcPr>
            <w:tcW w:w="114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Contracts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Purchase 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Other </w:t>
            </w:r>
          </w:p>
        </w:tc>
        <w:tc>
          <w:tcPr>
            <w:tcW w:w="114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07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4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4" w:name="MaxAggtOfferingPrice"/>
            <w:bookmarkEnd w:id="4"/>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0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(Note 1a) An indeterminate amount of the securities of each identified class is being registered as may from time to time be offered hereunder at indeterminate prices, along with an indeterminate number of securities that may be issued upon exercise, settlement, exchange or conversion of securities offered or sold hereunder or that are represented by depositary shares. Separate consideration may or may not be received for securities that are issuable upon conversion, exercise or exchange of other securities. Pursuant to Rule 416(a), this registration statement also covers any additional securities that may be offered or issued in connection with any stock split, stock dividend or similar transaction. (Note 1b) In accordance with Rules 456(b) and 457(r) under the Securities Act, the registrant is deferring payment of all registration fees and will pay the registration fees subsequently in advance or on a "pay-as-you-go" basis.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(See Notes 1a and 1b)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4" w:type="dxa"/>
            <w:gridSpan w:val="2"/>
            <w:tcBorders/>
            <w:vAlign w:val="center"/>
          </w:tcPr>
          <w:p>
            <w:pPr>
              <w:pStyle w:val="TableContents"/>
              <w:bidi w:val="0"/>
              <w:spacing w:before="0" w:after="283"/>
              <w:jc w:val="left"/>
              <w:rPr/>
            </w:pPr>
            <w:r>
              <w:rPr/>
              <w:t xml:space="preserve">(See Notes 1a and 1b) (Note 3a) Each depositary share will be issued under a deposit agreement, will represent an interest in a fractional share or multiple shares of preferred stock, and will be evidenced by a depositary receipt.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4" w:type="dxa"/>
            <w:gridSpan w:val="2"/>
            <w:tcBorders/>
            <w:vAlign w:val="center"/>
          </w:tcPr>
          <w:p>
            <w:pPr>
              <w:pStyle w:val="TableContents"/>
              <w:bidi w:val="0"/>
              <w:spacing w:before="0" w:after="283"/>
              <w:jc w:val="left"/>
              <w:rPr/>
            </w:pPr>
            <w:r>
              <w:rPr/>
              <w:t xml:space="preserve">(See Notes 1a and 1b)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4" w:type="dxa"/>
            <w:gridSpan w:val="2"/>
            <w:tcBorders/>
            <w:vAlign w:val="center"/>
          </w:tcPr>
          <w:p>
            <w:pPr>
              <w:pStyle w:val="TableContents"/>
              <w:bidi w:val="0"/>
              <w:spacing w:before="0" w:after="283"/>
              <w:jc w:val="left"/>
              <w:rPr/>
            </w:pPr>
            <w:r>
              <w:rPr/>
              <w:t xml:space="preserve">(See Notes 1a and 1b)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4" w:type="dxa"/>
            <w:gridSpan w:val="2"/>
            <w:tcBorders/>
            <w:vAlign w:val="center"/>
          </w:tcPr>
          <w:p>
            <w:pPr>
              <w:pStyle w:val="TableContents"/>
              <w:bidi w:val="0"/>
              <w:spacing w:before="0" w:after="283"/>
              <w:jc w:val="left"/>
              <w:rPr/>
            </w:pPr>
            <w:r>
              <w:rPr/>
              <w:t xml:space="preserve">(See Notes 1a and 1b)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4" w:type="dxa"/>
            <w:gridSpan w:val="2"/>
            <w:tcBorders/>
            <w:vAlign w:val="center"/>
          </w:tcPr>
          <w:p>
            <w:pPr>
              <w:pStyle w:val="TableContents"/>
              <w:bidi w:val="0"/>
              <w:spacing w:before="0" w:after="283"/>
              <w:jc w:val="left"/>
              <w:rPr/>
            </w:pPr>
            <w:r>
              <w:rPr/>
              <w:t xml:space="preserve">(See Notes 1a and 1b)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4.1</w:t>
      </w:r>
    </w:p>
    <w:p>
      <w:pPr>
        <w:pStyle w:val="TextBody"/>
        <w:bidi w:val="0"/>
        <w:spacing w:before="0" w:after="80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EMPLOYERS HOLDINGS, INC.</w:t>
      </w:r>
    </w:p>
    <w:p>
      <w:pPr>
        <w:pStyle w:val="TextBody"/>
        <w:bidi w:val="0"/>
        <w:spacing w:lineRule="auto" w:line="288" w:before="0" w:after="360"/>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288" w:before="0" w:after="240"/>
        <w:jc w:val="center"/>
        <w:rPr/>
      </w:pPr>
      <w:r>
        <w:rPr>
          <w:rFonts w:ascii="Times New Roman;serif" w:hAnsi="Times New Roman;serif"/>
          <w:b w:val="false"/>
          <w:color w:val="000000"/>
          <w:sz w:val="24"/>
        </w:rPr>
        <w:t xml:space="preserve">Dated as of </w:t>
      </w:r>
      <w:r>
        <w:rPr>
          <w:rFonts w:ascii="Times New Roman;serif" w:hAnsi="Times New Roman;serif"/>
          <w:b/>
          <w:color w:val="000000"/>
          <w:sz w:val="22"/>
        </w:rPr>
        <w:t>[●]</w:t>
      </w:r>
    </w:p>
    <w:p>
      <w:pPr>
        <w:pStyle w:val="TextBody"/>
        <w:bidi w:val="0"/>
        <w:spacing w:lineRule="auto" w:line="288" w:before="0" w:after="400"/>
        <w:jc w:val="center"/>
        <w:rPr>
          <w:rFonts w:ascii="Times New Roman;serif" w:hAnsi="Times New Roman;serif"/>
          <w:b w:val="false"/>
          <w:color w:val="000000"/>
          <w:sz w:val="24"/>
        </w:rPr>
      </w:pPr>
      <w:r>
        <w:rPr>
          <w:rFonts w:ascii="Times New Roman;serif" w:hAnsi="Times New Roman;serif"/>
          <w:b w:val="false"/>
          <w:color w:val="000000"/>
          <w:sz w:val="24"/>
        </w:rPr>
        <w:t>______________</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w:t>
      </w:r>
    </w:p>
    <w:p>
      <w:pPr>
        <w:pStyle w:val="TextBody"/>
        <w:bidi w:val="0"/>
        <w:spacing w:lineRule="auto" w:line="288" w:before="0" w:after="1120"/>
        <w:jc w:val="center"/>
        <w:rPr>
          <w:rFonts w:ascii="Times New Roman;serif" w:hAnsi="Times New Roman;serif"/>
          <w:b w:val="false"/>
          <w:color w:val="000000"/>
          <w:sz w:val="24"/>
        </w:rPr>
      </w:pPr>
      <w:r>
        <w:rPr>
          <w:rFonts w:ascii="Times New Roman;serif" w:hAnsi="Times New Roman;serif"/>
          <w:b w:val="false"/>
          <w:color w:val="000000"/>
          <w:sz w:val="24"/>
        </w:rPr>
        <w:t>Trustee</w:t>
      </w:r>
    </w:p>
    <w:p>
      <w:pPr>
        <w:pStyle w:val="TextBody"/>
        <w:bidi w:val="0"/>
        <w:spacing w:before="240" w:after="283"/>
        <w:ind w:left="0" w:right="0" w:firstLine="7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41"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120"/>
        <w:jc w:val="right"/>
        <w:rPr>
          <w:rFonts w:ascii="Times New Roman;serif" w:hAnsi="Times New Roman;serif"/>
          <w:b/>
          <w:color w:val="000000"/>
          <w:sz w:val="24"/>
          <w:u w:val="single"/>
        </w:rPr>
      </w:pPr>
      <w:r>
        <w:rPr>
          <w:rFonts w:ascii="Times New Roman;serif" w:hAnsi="Times New Roman;serif"/>
          <w:b/>
          <w:color w:val="000000"/>
          <w:sz w:val="24"/>
          <w:u w:val="single"/>
        </w:rPr>
        <w:t>Page</w:t>
      </w:r>
    </w:p>
    <w:tbl>
      <w:tblPr>
        <w:tblW w:w="8520" w:type="dxa"/>
        <w:jc w:val="left"/>
        <w:tblInd w:w="0" w:type="dxa"/>
        <w:tblLayout w:type="fixed"/>
        <w:tblCellMar>
          <w:top w:w="28" w:type="dxa"/>
          <w:left w:w="28" w:type="dxa"/>
          <w:bottom w:w="28" w:type="dxa"/>
          <w:right w:w="28" w:type="dxa"/>
        </w:tblCellMar>
      </w:tblPr>
      <w:tblGrid>
        <w:gridCol w:w="2684"/>
        <w:gridCol w:w="2361"/>
        <w:gridCol w:w="2364"/>
        <w:gridCol w:w="325"/>
        <w:gridCol w:w="325"/>
        <w:gridCol w:w="461"/>
      </w:tblGrid>
      <w:tr>
        <w:trPr/>
        <w:tc>
          <w:tcPr>
            <w:tcW w:w="2684"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 DEFINITIONS AND INCORPORATION BY REFERENCE</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hyperlink w:anchor="id67a3851970c42debfc806b5ee7849c3_10">
              <w:r>
                <w:rPr>
                  <w:rStyle w:val="InternetLink"/>
                  <w:rFonts w:ascii="Times New Roman;serif" w:hAnsi="Times New Roman;serif"/>
                  <w:b w:val="false"/>
                  <w:strike w:val="false"/>
                  <w:dstrike w:val="false"/>
                  <w:color w:val="000000"/>
                  <w:sz w:val="24"/>
                  <w:u w:val="none"/>
                  <w:effect w:val="none"/>
                </w:rPr>
                <w:t>1</w:t>
              </w:r>
            </w:hyperlink>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1.1</w:t>
            </w:r>
            <w:r>
              <w:rPr>
                <w:color w:val="000000"/>
              </w:rPr>
              <w:t>    </w:t>
            </w:r>
            <w:r>
              <w:rPr>
                <w:rFonts w:ascii="Times New Roman;serif" w:hAnsi="Times New Roman;serif"/>
                <w:b w:val="false"/>
                <w:color w:val="000000"/>
                <w:sz w:val="24"/>
              </w:rPr>
              <w:t>Definitions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1.2</w:t>
            </w:r>
            <w:r>
              <w:rPr>
                <w:color w:val="000000"/>
              </w:rPr>
              <w:t>    </w:t>
            </w:r>
            <w:r>
              <w:rPr>
                <w:rFonts w:ascii="Times New Roman;serif" w:hAnsi="Times New Roman;serif"/>
                <w:b w:val="false"/>
                <w:color w:val="000000"/>
                <w:sz w:val="24"/>
              </w:rPr>
              <w:t>Other Definitions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1.3</w:t>
            </w:r>
            <w:r>
              <w:rPr>
                <w:color w:val="000000"/>
              </w:rPr>
              <w:t>    </w:t>
            </w:r>
            <w:r>
              <w:rPr>
                <w:rFonts w:ascii="Times New Roman;serif" w:hAnsi="Times New Roman;serif"/>
                <w:b w:val="false"/>
                <w:color w:val="000000"/>
                <w:sz w:val="24"/>
              </w:rPr>
              <w:t>Incorporation by Reference of Trust Indenture Act</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5</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1.4</w:t>
            </w:r>
            <w:r>
              <w:rPr>
                <w:color w:val="000000"/>
              </w:rPr>
              <w:t>    </w:t>
            </w:r>
            <w:r>
              <w:rPr>
                <w:rFonts w:ascii="Times New Roman;serif" w:hAnsi="Times New Roman;serif"/>
                <w:b w:val="false"/>
                <w:color w:val="000000"/>
                <w:sz w:val="24"/>
              </w:rPr>
              <w:t>Rules of Construction</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II THE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w:t>
            </w:r>
            <w:r>
              <w:rPr>
                <w:color w:val="000000"/>
              </w:rPr>
              <w:t>    </w:t>
            </w:r>
            <w:r>
              <w:rPr>
                <w:rFonts w:ascii="Times New Roman;serif" w:hAnsi="Times New Roman;serif"/>
                <w:b w:val="false"/>
                <w:color w:val="000000"/>
                <w:sz w:val="24"/>
              </w:rPr>
              <w:t>Issuable in Series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2.2</w:t>
            </w:r>
            <w:r>
              <w:rPr>
                <w:color w:val="000000"/>
              </w:rPr>
              <w:t>    </w:t>
            </w:r>
            <w:r>
              <w:rPr>
                <w:rFonts w:ascii="Times New Roman;serif" w:hAnsi="Times New Roman;serif"/>
                <w:b w:val="false"/>
                <w:color w:val="000000"/>
                <w:sz w:val="24"/>
              </w:rPr>
              <w:t>Establishment of Terms of Series of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6</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2.3</w:t>
            </w:r>
            <w:r>
              <w:rPr>
                <w:color w:val="000000"/>
              </w:rPr>
              <w:t>    </w:t>
            </w:r>
            <w:r>
              <w:rPr>
                <w:rFonts w:ascii="Times New Roman;serif" w:hAnsi="Times New Roman;serif"/>
                <w:b w:val="false"/>
                <w:color w:val="000000"/>
                <w:sz w:val="24"/>
              </w:rPr>
              <w:t>Execution and Authentication</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2.4</w:t>
            </w:r>
            <w:r>
              <w:rPr>
                <w:color w:val="000000"/>
              </w:rPr>
              <w:t>    </w:t>
            </w:r>
            <w:r>
              <w:rPr>
                <w:rFonts w:ascii="Times New Roman;serif" w:hAnsi="Times New Roman;serif"/>
                <w:b w:val="false"/>
                <w:color w:val="000000"/>
                <w:sz w:val="24"/>
              </w:rPr>
              <w:t>Registrar and Paying Agent</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2.5</w:t>
            </w:r>
            <w:r>
              <w:rPr>
                <w:color w:val="000000"/>
              </w:rPr>
              <w:t>    </w:t>
            </w:r>
            <w:r>
              <w:rPr>
                <w:rFonts w:ascii="Times New Roman;serif" w:hAnsi="Times New Roman;serif"/>
                <w:b w:val="false"/>
                <w:color w:val="000000"/>
                <w:sz w:val="24"/>
              </w:rPr>
              <w:t>Paying Agent to Hold Money in Trust</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10</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2.6</w:t>
            </w:r>
            <w:r>
              <w:rPr>
                <w:color w:val="000000"/>
              </w:rPr>
              <w:t>    </w:t>
            </w:r>
            <w:r>
              <w:rPr>
                <w:rFonts w:ascii="Times New Roman;serif" w:hAnsi="Times New Roman;serif"/>
                <w:b w:val="false"/>
                <w:color w:val="000000"/>
                <w:sz w:val="24"/>
              </w:rPr>
              <w:t>Securityholder Lists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2.7</w:t>
            </w:r>
            <w:r>
              <w:rPr>
                <w:color w:val="000000"/>
              </w:rPr>
              <w:t>    </w:t>
            </w:r>
            <w:r>
              <w:rPr>
                <w:rFonts w:ascii="Times New Roman;serif" w:hAnsi="Times New Roman;serif"/>
                <w:b w:val="false"/>
                <w:color w:val="000000"/>
                <w:sz w:val="24"/>
              </w:rPr>
              <w:t>Transfer and Exchange</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2.8</w:t>
            </w:r>
            <w:r>
              <w:rPr>
                <w:color w:val="000000"/>
              </w:rPr>
              <w:t>    </w:t>
            </w:r>
            <w:r>
              <w:rPr>
                <w:rFonts w:ascii="Times New Roman;serif" w:hAnsi="Times New Roman;serif"/>
                <w:b w:val="false"/>
                <w:color w:val="000000"/>
                <w:sz w:val="24"/>
              </w:rPr>
              <w:t>Mutilated, Destroyed, Lost and Stolen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2.9</w:t>
            </w:r>
            <w:r>
              <w:rPr>
                <w:color w:val="000000"/>
              </w:rPr>
              <w:t>    </w:t>
            </w:r>
            <w:r>
              <w:rPr>
                <w:rFonts w:ascii="Times New Roman;serif" w:hAnsi="Times New Roman;serif"/>
                <w:b w:val="false"/>
                <w:color w:val="000000"/>
                <w:sz w:val="24"/>
              </w:rPr>
              <w:t>Outstanding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12</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2.10</w:t>
            </w:r>
            <w:r>
              <w:rPr>
                <w:color w:val="000000"/>
              </w:rPr>
              <w:t>    </w:t>
            </w:r>
            <w:r>
              <w:rPr>
                <w:rFonts w:ascii="Times New Roman;serif" w:hAnsi="Times New Roman;serif"/>
                <w:b w:val="false"/>
                <w:color w:val="000000"/>
                <w:sz w:val="24"/>
              </w:rPr>
              <w:t>Treasury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2.11</w:t>
            </w:r>
            <w:r>
              <w:rPr>
                <w:color w:val="000000"/>
              </w:rPr>
              <w:t>    </w:t>
            </w:r>
            <w:r>
              <w:rPr>
                <w:rFonts w:ascii="Times New Roman;serif" w:hAnsi="Times New Roman;serif"/>
                <w:b w:val="false"/>
                <w:color w:val="000000"/>
                <w:sz w:val="24"/>
              </w:rPr>
              <w:t>Temporary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2.12</w:t>
            </w:r>
            <w:r>
              <w:rPr>
                <w:color w:val="000000"/>
              </w:rPr>
              <w:t>    </w:t>
            </w:r>
            <w:r>
              <w:rPr>
                <w:rFonts w:ascii="Times New Roman;serif" w:hAnsi="Times New Roman;serif"/>
                <w:b w:val="false"/>
                <w:color w:val="000000"/>
                <w:sz w:val="24"/>
              </w:rPr>
              <w:t>Cancellation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2.13</w:t>
            </w:r>
            <w:r>
              <w:rPr>
                <w:color w:val="000000"/>
              </w:rPr>
              <w:t>    </w:t>
            </w:r>
            <w:r>
              <w:rPr>
                <w:rFonts w:ascii="Times New Roman;serif" w:hAnsi="Times New Roman;serif"/>
                <w:b w:val="false"/>
                <w:color w:val="000000"/>
                <w:sz w:val="24"/>
              </w:rPr>
              <w:t>Defaulted Interest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13</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2.14</w:t>
            </w:r>
            <w:r>
              <w:rPr>
                <w:color w:val="000000"/>
              </w:rPr>
              <w:t>    </w:t>
            </w:r>
            <w:r>
              <w:rPr>
                <w:rFonts w:ascii="Times New Roman;serif" w:hAnsi="Times New Roman;serif"/>
                <w:b w:val="false"/>
                <w:color w:val="000000"/>
                <w:sz w:val="24"/>
              </w:rPr>
              <w:t>Global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14</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2.15</w:t>
            </w:r>
            <w:r>
              <w:rPr>
                <w:color w:val="000000"/>
              </w:rPr>
              <w:t>    </w:t>
            </w:r>
            <w:r>
              <w:rPr>
                <w:rFonts w:ascii="Times New Roman;serif" w:hAnsi="Times New Roman;serif"/>
                <w:b w:val="false"/>
                <w:color w:val="000000"/>
                <w:sz w:val="24"/>
              </w:rPr>
              <w:t>CUSIP Numbers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16</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III REDEMPTION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3.1</w:t>
            </w:r>
            <w:r>
              <w:rPr>
                <w:color w:val="000000"/>
              </w:rPr>
              <w:t>    </w:t>
            </w:r>
            <w:r>
              <w:rPr>
                <w:rFonts w:ascii="Times New Roman;serif" w:hAnsi="Times New Roman;serif"/>
                <w:b w:val="false"/>
                <w:color w:val="000000"/>
                <w:sz w:val="24"/>
              </w:rPr>
              <w:t>Notice to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3.2</w:t>
            </w:r>
            <w:r>
              <w:rPr>
                <w:color w:val="000000"/>
              </w:rPr>
              <w:t>    </w:t>
            </w:r>
            <w:r>
              <w:rPr>
                <w:rFonts w:ascii="Times New Roman;serif" w:hAnsi="Times New Roman;serif"/>
                <w:b w:val="false"/>
                <w:color w:val="000000"/>
                <w:sz w:val="24"/>
              </w:rPr>
              <w:t>Selection of Securities to be Redeemed</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3.3</w:t>
            </w:r>
            <w:r>
              <w:rPr>
                <w:color w:val="000000"/>
              </w:rPr>
              <w:t>    </w:t>
            </w:r>
            <w:r>
              <w:rPr>
                <w:rFonts w:ascii="Times New Roman;serif" w:hAnsi="Times New Roman;serif"/>
                <w:b w:val="false"/>
                <w:color w:val="000000"/>
                <w:sz w:val="24"/>
              </w:rPr>
              <w:t>Notice of Redemption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17</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3.4</w:t>
            </w:r>
            <w:r>
              <w:rPr>
                <w:color w:val="000000"/>
              </w:rPr>
              <w:t>    </w:t>
            </w:r>
            <w:r>
              <w:rPr>
                <w:rFonts w:ascii="Times New Roman;serif" w:hAnsi="Times New Roman;serif"/>
                <w:b w:val="false"/>
                <w:color w:val="000000"/>
                <w:sz w:val="24"/>
              </w:rPr>
              <w:t>Effect of Notice of Redemption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3.5</w:t>
            </w:r>
            <w:r>
              <w:rPr>
                <w:color w:val="000000"/>
              </w:rPr>
              <w:t>    </w:t>
            </w:r>
            <w:r>
              <w:rPr>
                <w:rFonts w:ascii="Times New Roman;serif" w:hAnsi="Times New Roman;serif"/>
                <w:b w:val="false"/>
                <w:color w:val="000000"/>
                <w:sz w:val="24"/>
              </w:rPr>
              <w:t>Deposit of Redemption Price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18</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3.6</w:t>
            </w:r>
            <w:r>
              <w:rPr>
                <w:color w:val="000000"/>
              </w:rPr>
              <w:t>    </w:t>
            </w:r>
            <w:r>
              <w:rPr>
                <w:rFonts w:ascii="Times New Roman;serif" w:hAnsi="Times New Roman;serif"/>
                <w:b w:val="false"/>
                <w:color w:val="000000"/>
                <w:sz w:val="24"/>
              </w:rPr>
              <w:t>Securities Redeemed in Part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IV COVENANTS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4.1</w:t>
            </w:r>
            <w:r>
              <w:rPr>
                <w:color w:val="000000"/>
              </w:rPr>
              <w:t>    </w:t>
            </w:r>
            <w:r>
              <w:rPr>
                <w:rFonts w:ascii="Times New Roman;serif" w:hAnsi="Times New Roman;serif"/>
                <w:b w:val="false"/>
                <w:color w:val="000000"/>
                <w:sz w:val="24"/>
              </w:rPr>
              <w:t>Payment of Principal and Interest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4.2</w:t>
            </w:r>
            <w:r>
              <w:rPr>
                <w:color w:val="000000"/>
              </w:rPr>
              <w:t>    </w:t>
            </w:r>
            <w:r>
              <w:rPr>
                <w:rFonts w:ascii="Times New Roman;serif" w:hAnsi="Times New Roman;serif"/>
                <w:b w:val="false"/>
                <w:color w:val="000000"/>
                <w:sz w:val="24"/>
              </w:rPr>
              <w:t>SEC Reports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4.3</w:t>
            </w:r>
            <w:r>
              <w:rPr>
                <w:color w:val="000000"/>
              </w:rPr>
              <w:t>    </w:t>
            </w:r>
            <w:r>
              <w:rPr>
                <w:rFonts w:ascii="Times New Roman;serif" w:hAnsi="Times New Roman;serif"/>
                <w:b w:val="false"/>
                <w:color w:val="000000"/>
                <w:sz w:val="24"/>
              </w:rPr>
              <w:t>Compliance Certificate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19</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4.4</w:t>
            </w:r>
            <w:r>
              <w:rPr>
                <w:color w:val="000000"/>
              </w:rPr>
              <w:t>    </w:t>
            </w:r>
            <w:r>
              <w:rPr>
                <w:rFonts w:ascii="Times New Roman;serif" w:hAnsi="Times New Roman;serif"/>
                <w:b w:val="false"/>
                <w:color w:val="000000"/>
                <w:sz w:val="24"/>
              </w:rPr>
              <w:t>Stay, Extension and Usury Laws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V SUCCESSORS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5.1</w:t>
            </w:r>
            <w:r>
              <w:rPr>
                <w:color w:val="000000"/>
              </w:rPr>
              <w:t>    </w:t>
            </w:r>
            <w:r>
              <w:rPr>
                <w:rFonts w:ascii="Times New Roman;serif" w:hAnsi="Times New Roman;serif"/>
                <w:b w:val="false"/>
                <w:color w:val="000000"/>
                <w:sz w:val="24"/>
              </w:rPr>
              <w:t>When Company May Merge, Etc</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20</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5.2</w:t>
            </w:r>
            <w:r>
              <w:rPr>
                <w:color w:val="000000"/>
              </w:rPr>
              <w:t>    </w:t>
            </w:r>
            <w:r>
              <w:rPr>
                <w:rFonts w:ascii="Times New Roman;serif" w:hAnsi="Times New Roman;serif"/>
                <w:b w:val="false"/>
                <w:color w:val="000000"/>
                <w:sz w:val="24"/>
              </w:rPr>
              <w:t>Successor Corporation Substituted</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VI DEFAULTS AND REMEDIES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w:t>
            </w:r>
          </w:p>
        </w:tc>
      </w:tr>
      <w:tr>
        <w:trPr/>
        <w:tc>
          <w:tcPr>
            <w:tcW w:w="740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w:t>
            </w:r>
            <w:r>
              <w:rPr>
                <w:color w:val="000000"/>
              </w:rPr>
              <w:t>    </w:t>
            </w:r>
            <w:r>
              <w:rPr>
                <w:rFonts w:ascii="Times New Roman;serif" w:hAnsi="Times New Roman;serif"/>
                <w:b w:val="false"/>
                <w:color w:val="000000"/>
                <w:sz w:val="24"/>
              </w:rPr>
              <w:t>Events of Default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21</w:t>
            </w:r>
          </w:p>
        </w:tc>
      </w:tr>
    </w:tbl>
    <w:p>
      <w:pPr>
        <w:pStyle w:val="TextBody"/>
        <w:bidi w:val="0"/>
        <w:spacing w:before="0" w:after="0"/>
        <w:ind w:left="0" w:right="0" w:firstLine="7"/>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42"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tbl>
      <w:tblPr>
        <w:tblW w:w="9121" w:type="dxa"/>
        <w:jc w:val="left"/>
        <w:tblInd w:w="0" w:type="dxa"/>
        <w:tblLayout w:type="fixed"/>
        <w:tblCellMar>
          <w:top w:w="28" w:type="dxa"/>
          <w:left w:w="28" w:type="dxa"/>
          <w:bottom w:w="28" w:type="dxa"/>
          <w:right w:w="28" w:type="dxa"/>
        </w:tblCellMar>
      </w:tblPr>
      <w:tblGrid>
        <w:gridCol w:w="2902"/>
        <w:gridCol w:w="2551"/>
        <w:gridCol w:w="2557"/>
        <w:gridCol w:w="325"/>
        <w:gridCol w:w="325"/>
        <w:gridCol w:w="461"/>
      </w:tblGrid>
      <w:tr>
        <w:trPr/>
        <w:tc>
          <w:tcPr>
            <w:tcW w:w="2902"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6.2</w:t>
            </w:r>
            <w:r>
              <w:rPr>
                <w:color w:val="000000"/>
              </w:rPr>
              <w:t>    </w:t>
            </w:r>
            <w:r>
              <w:rPr>
                <w:rFonts w:ascii="Times New Roman;serif" w:hAnsi="Times New Roman;serif"/>
                <w:b w:val="false"/>
                <w:color w:val="000000"/>
                <w:sz w:val="24"/>
              </w:rPr>
              <w:t>Acceleration of Maturity; Rescission and Annulment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22</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440"/>
              <w:jc w:val="left"/>
              <w:rPr/>
            </w:pPr>
            <w:r>
              <w:rPr>
                <w:color w:val="000000"/>
              </w:rPr>
              <w:t> </w:t>
            </w:r>
            <w:r>
              <w:rPr>
                <w:rFonts w:ascii="Times New Roman;serif" w:hAnsi="Times New Roman;serif"/>
                <w:b w:val="false"/>
                <w:color w:val="000000"/>
                <w:sz w:val="24"/>
              </w:rPr>
              <w:t>Section 6.3</w:t>
            </w:r>
            <w:r>
              <w:rPr>
                <w:color w:val="000000"/>
              </w:rPr>
              <w:t>    </w:t>
            </w:r>
            <w:r>
              <w:rPr>
                <w:rFonts w:ascii="Times New Roman;serif" w:hAnsi="Times New Roman;serif"/>
                <w:b w:val="false"/>
                <w:color w:val="000000"/>
                <w:sz w:val="24"/>
              </w:rPr>
              <w:t>Collection of Indebtedness and Suits for Enforcement by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23</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6.4</w:t>
            </w:r>
            <w:r>
              <w:rPr>
                <w:color w:val="000000"/>
              </w:rPr>
              <w:t>    </w:t>
            </w:r>
            <w:r>
              <w:rPr>
                <w:rFonts w:ascii="Times New Roman;serif" w:hAnsi="Times New Roman;serif"/>
                <w:b w:val="false"/>
                <w:color w:val="000000"/>
                <w:sz w:val="24"/>
              </w:rPr>
              <w:t>Trustee May File Proofs of Claim</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6.5</w:t>
            </w:r>
            <w:r>
              <w:rPr>
                <w:color w:val="000000"/>
              </w:rPr>
              <w:t>    </w:t>
            </w:r>
            <w:r>
              <w:rPr>
                <w:rFonts w:ascii="Times New Roman;serif" w:hAnsi="Times New Roman;serif"/>
                <w:b w:val="false"/>
                <w:color w:val="000000"/>
                <w:sz w:val="24"/>
              </w:rPr>
              <w:t>Trustee May Enforce Claims Without Possession of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6.6</w:t>
            </w:r>
            <w:r>
              <w:rPr>
                <w:color w:val="000000"/>
              </w:rPr>
              <w:t>    </w:t>
            </w:r>
            <w:r>
              <w:rPr>
                <w:rFonts w:ascii="Times New Roman;serif" w:hAnsi="Times New Roman;serif"/>
                <w:b w:val="false"/>
                <w:color w:val="000000"/>
                <w:sz w:val="24"/>
              </w:rPr>
              <w:t>Application of Money Collected</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6.7</w:t>
            </w:r>
            <w:r>
              <w:rPr>
                <w:color w:val="000000"/>
              </w:rPr>
              <w:t>    </w:t>
            </w:r>
            <w:r>
              <w:rPr>
                <w:rFonts w:ascii="Times New Roman;serif" w:hAnsi="Times New Roman;serif"/>
                <w:b w:val="false"/>
                <w:color w:val="000000"/>
                <w:sz w:val="24"/>
              </w:rPr>
              <w:t>Limitation on Suits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hanging="1440"/>
              <w:jc w:val="left"/>
              <w:rPr/>
            </w:pPr>
            <w:r>
              <w:rPr>
                <w:color w:val="000000"/>
              </w:rPr>
              <w:t> </w:t>
            </w:r>
            <w:r>
              <w:rPr>
                <w:rFonts w:ascii="Times New Roman;serif" w:hAnsi="Times New Roman;serif"/>
                <w:b w:val="false"/>
                <w:color w:val="000000"/>
                <w:sz w:val="24"/>
              </w:rPr>
              <w:t>Section 6.8</w:t>
            </w:r>
            <w:r>
              <w:rPr>
                <w:color w:val="000000"/>
              </w:rPr>
              <w:t>    </w:t>
            </w:r>
            <w:r>
              <w:rPr>
                <w:rFonts w:ascii="Times New Roman;serif" w:hAnsi="Times New Roman;serif"/>
                <w:b w:val="false"/>
                <w:color w:val="000000"/>
                <w:sz w:val="24"/>
              </w:rPr>
              <w:t>Unconditional Right of Holders to Receive Principal and Interest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6.9</w:t>
            </w:r>
            <w:r>
              <w:rPr>
                <w:color w:val="000000"/>
              </w:rPr>
              <w:t>    </w:t>
            </w:r>
            <w:r>
              <w:rPr>
                <w:rFonts w:ascii="Times New Roman;serif" w:hAnsi="Times New Roman;serif"/>
                <w:b w:val="false"/>
                <w:color w:val="000000"/>
                <w:sz w:val="24"/>
              </w:rPr>
              <w:t>Restoration of Rights and Remedies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6.10</w:t>
            </w:r>
            <w:r>
              <w:rPr>
                <w:color w:val="000000"/>
              </w:rPr>
              <w:t>    </w:t>
            </w:r>
            <w:r>
              <w:rPr>
                <w:rFonts w:ascii="Times New Roman;serif" w:hAnsi="Times New Roman;serif"/>
                <w:b w:val="false"/>
                <w:color w:val="000000"/>
                <w:sz w:val="24"/>
              </w:rPr>
              <w:t>Rights and Remedies Cumulative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6.11</w:t>
            </w:r>
            <w:r>
              <w:rPr>
                <w:color w:val="000000"/>
              </w:rPr>
              <w:t>    </w:t>
            </w:r>
            <w:r>
              <w:rPr>
                <w:rFonts w:ascii="Times New Roman;serif" w:hAnsi="Times New Roman;serif"/>
                <w:b w:val="false"/>
                <w:color w:val="000000"/>
                <w:sz w:val="24"/>
              </w:rPr>
              <w:t>Delay or Omission Not Waiver</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6.12</w:t>
            </w:r>
            <w:r>
              <w:rPr>
                <w:color w:val="000000"/>
              </w:rPr>
              <w:t>    </w:t>
            </w:r>
            <w:r>
              <w:rPr>
                <w:rFonts w:ascii="Times New Roman;serif" w:hAnsi="Times New Roman;serif"/>
                <w:b w:val="false"/>
                <w:color w:val="000000"/>
                <w:sz w:val="24"/>
              </w:rPr>
              <w:t>Control by Holders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6.13</w:t>
            </w:r>
            <w:r>
              <w:rPr>
                <w:color w:val="000000"/>
              </w:rPr>
              <w:t>    </w:t>
            </w:r>
            <w:r>
              <w:rPr>
                <w:rFonts w:ascii="Times New Roman;serif" w:hAnsi="Times New Roman;serif"/>
                <w:b w:val="false"/>
                <w:color w:val="000000"/>
                <w:sz w:val="24"/>
              </w:rPr>
              <w:t>Waiver of Past Defaults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6.14</w:t>
            </w:r>
            <w:r>
              <w:rPr>
                <w:color w:val="000000"/>
              </w:rPr>
              <w:t>    </w:t>
            </w:r>
            <w:r>
              <w:rPr>
                <w:rFonts w:ascii="Times New Roman;serif" w:hAnsi="Times New Roman;serif"/>
                <w:b w:val="false"/>
                <w:color w:val="000000"/>
                <w:sz w:val="24"/>
              </w:rPr>
              <w:t>Undertaking for Costs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27</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VII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7.1</w:t>
            </w:r>
            <w:r>
              <w:rPr>
                <w:color w:val="000000"/>
              </w:rPr>
              <w:t>    </w:t>
            </w:r>
            <w:r>
              <w:rPr>
                <w:rFonts w:ascii="Times New Roman;serif" w:hAnsi="Times New Roman;serif"/>
                <w:b w:val="false"/>
                <w:color w:val="000000"/>
                <w:sz w:val="24"/>
              </w:rPr>
              <w:t>Duties of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28</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7.2</w:t>
            </w:r>
            <w:r>
              <w:rPr>
                <w:color w:val="000000"/>
              </w:rPr>
              <w:t>    </w:t>
            </w:r>
            <w:r>
              <w:rPr>
                <w:rFonts w:ascii="Times New Roman;serif" w:hAnsi="Times New Roman;serif"/>
                <w:b w:val="false"/>
                <w:color w:val="000000"/>
                <w:sz w:val="24"/>
              </w:rPr>
              <w:t>Rights of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29</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7.3</w:t>
            </w:r>
            <w:r>
              <w:rPr>
                <w:color w:val="000000"/>
              </w:rPr>
              <w:t>    </w:t>
            </w:r>
            <w:r>
              <w:rPr>
                <w:rFonts w:ascii="Times New Roman;serif" w:hAnsi="Times New Roman;serif"/>
                <w:b w:val="false"/>
                <w:color w:val="000000"/>
                <w:sz w:val="24"/>
              </w:rPr>
              <w:t>Individual Rights of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30</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7.4</w:t>
            </w:r>
            <w:r>
              <w:rPr>
                <w:color w:val="000000"/>
              </w:rPr>
              <w:t>    </w:t>
            </w:r>
            <w:r>
              <w:rPr>
                <w:rFonts w:ascii="Times New Roman;serif" w:hAnsi="Times New Roman;serif"/>
                <w:b w:val="false"/>
                <w:color w:val="000000"/>
                <w:sz w:val="24"/>
              </w:rPr>
              <w:t>Trustee’s Disclaimer</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7.5</w:t>
            </w:r>
            <w:r>
              <w:rPr>
                <w:color w:val="000000"/>
              </w:rPr>
              <w:t>    </w:t>
            </w:r>
            <w:r>
              <w:rPr>
                <w:rFonts w:ascii="Times New Roman;serif" w:hAnsi="Times New Roman;serif"/>
                <w:b w:val="false"/>
                <w:color w:val="000000"/>
                <w:sz w:val="24"/>
              </w:rPr>
              <w:t>Notice of Defaults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7.6</w:t>
            </w:r>
            <w:r>
              <w:rPr>
                <w:color w:val="000000"/>
              </w:rPr>
              <w:t>    </w:t>
            </w:r>
            <w:r>
              <w:rPr>
                <w:rFonts w:ascii="Times New Roman;serif" w:hAnsi="Times New Roman;serif"/>
                <w:b w:val="false"/>
                <w:color w:val="000000"/>
                <w:sz w:val="24"/>
              </w:rPr>
              <w:t>Reports by Trustee to Holders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7.7</w:t>
            </w:r>
            <w:r>
              <w:rPr>
                <w:color w:val="000000"/>
              </w:rPr>
              <w:t>    </w:t>
            </w:r>
            <w:r>
              <w:rPr>
                <w:rFonts w:ascii="Times New Roman;serif" w:hAnsi="Times New Roman;serif"/>
                <w:b w:val="false"/>
                <w:color w:val="000000"/>
                <w:sz w:val="24"/>
              </w:rPr>
              <w:t>Compensation and Indemnity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7.8</w:t>
            </w:r>
            <w:r>
              <w:rPr>
                <w:color w:val="000000"/>
              </w:rPr>
              <w:t>    </w:t>
            </w:r>
            <w:r>
              <w:rPr>
                <w:rFonts w:ascii="Times New Roman;serif" w:hAnsi="Times New Roman;serif"/>
                <w:b w:val="false"/>
                <w:color w:val="000000"/>
                <w:sz w:val="24"/>
              </w:rPr>
              <w:t>Replacement of Trustee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32</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7.9</w:t>
            </w:r>
            <w:r>
              <w:rPr>
                <w:color w:val="000000"/>
              </w:rPr>
              <w:t>    </w:t>
            </w:r>
            <w:r>
              <w:rPr>
                <w:rFonts w:ascii="Times New Roman;serif" w:hAnsi="Times New Roman;serif"/>
                <w:b w:val="false"/>
                <w:color w:val="000000"/>
                <w:sz w:val="24"/>
              </w:rPr>
              <w:t>Successor Trustee by Merger, Etc</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7.10</w:t>
            </w:r>
            <w:r>
              <w:rPr>
                <w:color w:val="000000"/>
              </w:rPr>
              <w:t>    </w:t>
            </w:r>
            <w:r>
              <w:rPr>
                <w:rFonts w:ascii="Times New Roman;serif" w:hAnsi="Times New Roman;serif"/>
                <w:b w:val="false"/>
                <w:color w:val="000000"/>
                <w:sz w:val="24"/>
              </w:rPr>
              <w:t>Eligibility; Disqualification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33</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7.11</w:t>
            </w:r>
            <w:r>
              <w:rPr>
                <w:color w:val="000000"/>
              </w:rPr>
              <w:t>    </w:t>
            </w:r>
            <w:r>
              <w:rPr>
                <w:rFonts w:ascii="Times New Roman;serif" w:hAnsi="Times New Roman;serif"/>
                <w:b w:val="false"/>
                <w:color w:val="000000"/>
                <w:sz w:val="24"/>
              </w:rPr>
              <w:t>Preferential Collection of Claims Against Company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VIII SATISFACTION AND DISCHARGE; DEFEASANCE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8.1</w:t>
            </w:r>
            <w:r>
              <w:rPr>
                <w:color w:val="000000"/>
              </w:rPr>
              <w:t>    </w:t>
            </w:r>
            <w:r>
              <w:rPr>
                <w:rFonts w:ascii="Times New Roman;serif" w:hAnsi="Times New Roman;serif"/>
                <w:b w:val="false"/>
                <w:color w:val="000000"/>
                <w:sz w:val="24"/>
              </w:rPr>
              <w:t>Satisfaction and Discharge of Indenture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34</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8.2</w:t>
            </w:r>
            <w:r>
              <w:rPr>
                <w:color w:val="000000"/>
              </w:rPr>
              <w:t>    </w:t>
            </w:r>
            <w:r>
              <w:rPr>
                <w:rFonts w:ascii="Times New Roman;serif" w:hAnsi="Times New Roman;serif"/>
                <w:b w:val="false"/>
                <w:color w:val="000000"/>
                <w:sz w:val="24"/>
              </w:rPr>
              <w:t>Application of Trust Funds; Indemnification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35</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8.3</w:t>
            </w:r>
            <w:r>
              <w:rPr>
                <w:color w:val="000000"/>
              </w:rPr>
              <w:t>    </w:t>
            </w:r>
            <w:r>
              <w:rPr>
                <w:rFonts w:ascii="Times New Roman;serif" w:hAnsi="Times New Roman;serif"/>
                <w:b w:val="false"/>
                <w:color w:val="000000"/>
                <w:sz w:val="24"/>
              </w:rPr>
              <w:t>Legal Defeasance of Securities of any Series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36</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8.4</w:t>
            </w:r>
            <w:r>
              <w:rPr>
                <w:color w:val="000000"/>
              </w:rPr>
              <w:t>    </w:t>
            </w:r>
            <w:r>
              <w:rPr>
                <w:rFonts w:ascii="Times New Roman;serif" w:hAnsi="Times New Roman;serif"/>
                <w:b w:val="false"/>
                <w:color w:val="000000"/>
                <w:sz w:val="24"/>
              </w:rPr>
              <w:t>Covenant Defeasance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37</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8.5</w:t>
            </w:r>
            <w:r>
              <w:rPr>
                <w:color w:val="000000"/>
              </w:rPr>
              <w:t>    </w:t>
            </w:r>
            <w:r>
              <w:rPr>
                <w:rFonts w:ascii="Times New Roman;serif" w:hAnsi="Times New Roman;serif"/>
                <w:b w:val="false"/>
                <w:color w:val="000000"/>
                <w:sz w:val="24"/>
              </w:rPr>
              <w:t>Repayment to Company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8.6</w:t>
            </w:r>
            <w:r>
              <w:rPr>
                <w:color w:val="000000"/>
              </w:rPr>
              <w:t>    </w:t>
            </w:r>
            <w:r>
              <w:rPr>
                <w:rFonts w:ascii="Times New Roman;serif" w:hAnsi="Times New Roman;serif"/>
                <w:b w:val="false"/>
                <w:color w:val="000000"/>
                <w:sz w:val="24"/>
              </w:rPr>
              <w:t>Reinstatement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38</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IX AMENDMENTS AND WAIVERS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9.1</w:t>
            </w:r>
            <w:r>
              <w:rPr>
                <w:color w:val="000000"/>
              </w:rPr>
              <w:t>    </w:t>
            </w:r>
            <w:r>
              <w:rPr>
                <w:rFonts w:ascii="Times New Roman;serif" w:hAnsi="Times New Roman;serif"/>
                <w:b w:val="false"/>
                <w:color w:val="000000"/>
                <w:sz w:val="24"/>
              </w:rPr>
              <w:t>Without Consent of Holders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39</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9.2</w:t>
            </w:r>
            <w:r>
              <w:rPr>
                <w:color w:val="000000"/>
              </w:rPr>
              <w:t>    </w:t>
            </w:r>
            <w:r>
              <w:rPr>
                <w:rFonts w:ascii="Times New Roman;serif" w:hAnsi="Times New Roman;serif"/>
                <w:b w:val="false"/>
                <w:color w:val="000000"/>
                <w:sz w:val="24"/>
              </w:rPr>
              <w:t>With Consent of Holders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9.3</w:t>
            </w:r>
            <w:r>
              <w:rPr>
                <w:color w:val="000000"/>
              </w:rPr>
              <w:t>    </w:t>
            </w:r>
            <w:r>
              <w:rPr>
                <w:rFonts w:ascii="Times New Roman;serif" w:hAnsi="Times New Roman;serif"/>
                <w:b w:val="false"/>
                <w:color w:val="000000"/>
                <w:sz w:val="24"/>
              </w:rPr>
              <w:t>Limitations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40</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9.4</w:t>
            </w:r>
            <w:r>
              <w:rPr>
                <w:color w:val="000000"/>
              </w:rPr>
              <w:t>    </w:t>
            </w:r>
            <w:r>
              <w:rPr>
                <w:rFonts w:ascii="Times New Roman;serif" w:hAnsi="Times New Roman;serif"/>
                <w:b w:val="false"/>
                <w:color w:val="000000"/>
                <w:sz w:val="24"/>
              </w:rPr>
              <w:t>Compliance with Trust Indenture Act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9.5</w:t>
            </w:r>
            <w:r>
              <w:rPr>
                <w:color w:val="000000"/>
              </w:rPr>
              <w:t>    </w:t>
            </w:r>
            <w:r>
              <w:rPr>
                <w:rFonts w:ascii="Times New Roman;serif" w:hAnsi="Times New Roman;serif"/>
                <w:b w:val="false"/>
                <w:color w:val="000000"/>
                <w:sz w:val="24"/>
              </w:rPr>
              <w:t>Revocation and Effect of Consents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801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9.6</w:t>
            </w:r>
            <w:r>
              <w:rPr>
                <w:color w:val="000000"/>
              </w:rPr>
              <w:t>    </w:t>
            </w:r>
            <w:r>
              <w:rPr>
                <w:rFonts w:ascii="Times New Roman;serif" w:hAnsi="Times New Roman;serif"/>
                <w:b w:val="false"/>
                <w:color w:val="000000"/>
                <w:sz w:val="24"/>
              </w:rPr>
              <w:t>Notation on or Exchange of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42</w:t>
            </w:r>
          </w:p>
        </w:tc>
      </w:tr>
    </w:tbl>
    <w:p>
      <w:pPr>
        <w:pStyle w:val="TextBody"/>
        <w:bidi w:val="0"/>
        <w:spacing w:before="0" w:after="0"/>
        <w:ind w:left="0" w:right="0" w:firstLine="7"/>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4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xbxContent>
                </v:textbox>
                <w10:wrap type="none"/>
              </v:rect>
            </w:pict>
          </mc:Fallback>
        </mc:AlternateContent>
      </w:r>
    </w:p>
    <w:tbl>
      <w:tblPr>
        <w:tblW w:w="9330" w:type="dxa"/>
        <w:jc w:val="left"/>
        <w:tblInd w:w="0" w:type="dxa"/>
        <w:tblLayout w:type="fixed"/>
        <w:tblCellMar>
          <w:top w:w="28" w:type="dxa"/>
          <w:left w:w="28" w:type="dxa"/>
          <w:bottom w:w="28" w:type="dxa"/>
          <w:right w:w="28" w:type="dxa"/>
        </w:tblCellMar>
      </w:tblPr>
      <w:tblGrid>
        <w:gridCol w:w="2980"/>
        <w:gridCol w:w="2616"/>
        <w:gridCol w:w="2623"/>
        <w:gridCol w:w="325"/>
        <w:gridCol w:w="325"/>
        <w:gridCol w:w="461"/>
      </w:tblGrid>
      <w:tr>
        <w:trPr/>
        <w:tc>
          <w:tcPr>
            <w:tcW w:w="2980"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6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9.7</w:t>
            </w:r>
            <w:r>
              <w:rPr>
                <w:color w:val="000000"/>
              </w:rPr>
              <w:t>    </w:t>
            </w:r>
            <w:r>
              <w:rPr>
                <w:rFonts w:ascii="Times New Roman;serif" w:hAnsi="Times New Roman;serif"/>
                <w:b w:val="false"/>
                <w:color w:val="000000"/>
                <w:sz w:val="24"/>
              </w:rPr>
              <w:t>Trustee Protected</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X MISCELLANEOUS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Trust Indenture Act Controls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Notices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Communication by Holders with Other Holders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43</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10.4</w:t>
            </w:r>
            <w:r>
              <w:rPr>
                <w:color w:val="000000"/>
              </w:rPr>
              <w:t>    </w:t>
            </w:r>
            <w:r>
              <w:rPr>
                <w:rFonts w:ascii="Times New Roman;serif" w:hAnsi="Times New Roman;serif"/>
                <w:b w:val="false"/>
                <w:color w:val="000000"/>
                <w:sz w:val="24"/>
              </w:rPr>
              <w:t>Certificate and Opinion as to Conditions Precedent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10.5</w:t>
            </w:r>
            <w:r>
              <w:rPr>
                <w:color w:val="000000"/>
              </w:rPr>
              <w:t>    </w:t>
            </w:r>
            <w:r>
              <w:rPr>
                <w:rFonts w:ascii="Times New Roman;serif" w:hAnsi="Times New Roman;serif"/>
                <w:b w:val="false"/>
                <w:color w:val="000000"/>
                <w:sz w:val="24"/>
              </w:rPr>
              <w:t>Statements Required in Certificate or Opinion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10.6</w:t>
            </w:r>
            <w:r>
              <w:rPr>
                <w:color w:val="000000"/>
              </w:rPr>
              <w:t>    </w:t>
            </w:r>
            <w:r>
              <w:rPr>
                <w:rFonts w:ascii="Times New Roman;serif" w:hAnsi="Times New Roman;serif"/>
                <w:b w:val="false"/>
                <w:color w:val="000000"/>
                <w:sz w:val="24"/>
              </w:rPr>
              <w:t>Rules by Trustee and Agents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10.7</w:t>
            </w:r>
            <w:r>
              <w:rPr>
                <w:color w:val="000000"/>
              </w:rPr>
              <w:t>    </w:t>
            </w:r>
            <w:r>
              <w:rPr>
                <w:rFonts w:ascii="Times New Roman;serif" w:hAnsi="Times New Roman;serif"/>
                <w:b w:val="false"/>
                <w:color w:val="000000"/>
                <w:sz w:val="24"/>
              </w:rPr>
              <w:t>Legal Holidays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44</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10.8</w:t>
            </w:r>
            <w:r>
              <w:rPr>
                <w:color w:val="000000"/>
              </w:rPr>
              <w:t>    </w:t>
            </w:r>
            <w:r>
              <w:rPr>
                <w:rFonts w:ascii="Times New Roman;serif" w:hAnsi="Times New Roman;serif"/>
                <w:b w:val="false"/>
                <w:color w:val="000000"/>
                <w:sz w:val="24"/>
              </w:rPr>
              <w:t>No Recourse Against Others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10.9</w:t>
            </w:r>
            <w:r>
              <w:rPr>
                <w:color w:val="000000"/>
              </w:rPr>
              <w:t>    </w:t>
            </w:r>
            <w:r>
              <w:rPr>
                <w:rFonts w:ascii="Times New Roman;serif" w:hAnsi="Times New Roman;serif"/>
                <w:b w:val="false"/>
                <w:color w:val="000000"/>
                <w:sz w:val="24"/>
              </w:rPr>
              <w:t>Counterparts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10.10</w:t>
            </w:r>
            <w:r>
              <w:rPr>
                <w:color w:val="000000"/>
              </w:rPr>
              <w:t>    </w:t>
            </w:r>
            <w:r>
              <w:rPr>
                <w:rFonts w:ascii="Times New Roman;serif" w:hAnsi="Times New Roman;serif"/>
                <w:b w:val="false"/>
                <w:color w:val="000000"/>
                <w:sz w:val="24"/>
              </w:rPr>
              <w:t>Governing Law; Waiver of Jury Trial; Consent to Jurisdiction</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45</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10.11</w:t>
            </w:r>
            <w:r>
              <w:rPr>
                <w:color w:val="000000"/>
              </w:rPr>
              <w:t>    </w:t>
            </w:r>
            <w:r>
              <w:rPr>
                <w:rFonts w:ascii="Times New Roman;serif" w:hAnsi="Times New Roman;serif"/>
                <w:b w:val="false"/>
                <w:color w:val="000000"/>
                <w:sz w:val="24"/>
              </w:rPr>
              <w:t>No Adverse Interpretation of Other Agreements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10.12</w:t>
            </w:r>
            <w:r>
              <w:rPr>
                <w:color w:val="000000"/>
              </w:rPr>
              <w:t>    </w:t>
            </w:r>
            <w:r>
              <w:rPr>
                <w:rFonts w:ascii="Times New Roman;serif" w:hAnsi="Times New Roman;serif"/>
                <w:b w:val="false"/>
                <w:color w:val="000000"/>
                <w:sz w:val="24"/>
              </w:rPr>
              <w:t>Successors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10.13</w:t>
            </w:r>
            <w:r>
              <w:rPr>
                <w:color w:val="000000"/>
              </w:rPr>
              <w:t>    </w:t>
            </w:r>
            <w:r>
              <w:rPr>
                <w:rFonts w:ascii="Times New Roman;serif" w:hAnsi="Times New Roman;serif"/>
                <w:b w:val="false"/>
                <w:color w:val="000000"/>
                <w:sz w:val="24"/>
              </w:rPr>
              <w:t>Severability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10.14</w:t>
            </w:r>
            <w:r>
              <w:rPr>
                <w:color w:val="000000"/>
              </w:rPr>
              <w:t>    </w:t>
            </w:r>
            <w:r>
              <w:rPr>
                <w:rFonts w:ascii="Times New Roman;serif" w:hAnsi="Times New Roman;serif"/>
                <w:b w:val="false"/>
                <w:color w:val="000000"/>
                <w:sz w:val="24"/>
              </w:rPr>
              <w:t>Table of Contents, Headings, Etc</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10.15</w:t>
            </w:r>
            <w:r>
              <w:rPr>
                <w:color w:val="000000"/>
              </w:rPr>
              <w:t>    </w:t>
            </w:r>
            <w:r>
              <w:rPr>
                <w:rFonts w:ascii="Times New Roman;serif" w:hAnsi="Times New Roman;serif"/>
                <w:b w:val="false"/>
                <w:color w:val="000000"/>
                <w:sz w:val="24"/>
              </w:rPr>
              <w:t>Securities in a Foreign Currency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46</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10.16</w:t>
            </w:r>
            <w:r>
              <w:rPr>
                <w:color w:val="000000"/>
              </w:rPr>
              <w:t>    </w:t>
            </w:r>
            <w:r>
              <w:rPr>
                <w:rFonts w:ascii="Times New Roman;serif" w:hAnsi="Times New Roman;serif"/>
                <w:b w:val="false"/>
                <w:color w:val="000000"/>
                <w:sz w:val="24"/>
              </w:rPr>
              <w:t>Judgment Currency</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10.17</w:t>
            </w:r>
            <w:r>
              <w:rPr>
                <w:color w:val="000000"/>
              </w:rPr>
              <w:t>    </w:t>
            </w:r>
            <w:r>
              <w:rPr>
                <w:rFonts w:ascii="Times New Roman;serif" w:hAnsi="Times New Roman;serif"/>
                <w:b w:val="false"/>
                <w:color w:val="000000"/>
                <w:sz w:val="24"/>
              </w:rPr>
              <w:t>Force Majeure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10.18</w:t>
            </w:r>
            <w:r>
              <w:rPr>
                <w:color w:val="000000"/>
              </w:rPr>
              <w:t>    </w:t>
            </w:r>
            <w:r>
              <w:rPr>
                <w:rFonts w:ascii="Times New Roman;serif" w:hAnsi="Times New Roman;serif"/>
                <w:b w:val="false"/>
                <w:color w:val="000000"/>
                <w:sz w:val="24"/>
              </w:rPr>
              <w:t>U.S.A. Patriot Act</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47</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val="false"/>
                <w:color w:val="000000"/>
                <w:sz w:val="24"/>
              </w:rPr>
            </w:pPr>
            <w:r>
              <w:rPr>
                <w:rFonts w:ascii="Times New Roman;serif" w:hAnsi="Times New Roman;serif"/>
                <w:b w:val="false"/>
                <w:color w:val="000000"/>
                <w:sz w:val="24"/>
              </w:rPr>
              <w:t>ARTICLE XI SINKING FUNDS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11.1</w:t>
            </w:r>
            <w:r>
              <w:rPr>
                <w:color w:val="000000"/>
              </w:rPr>
              <w:t>    </w:t>
            </w:r>
            <w:r>
              <w:rPr>
                <w:rFonts w:ascii="Times New Roman;serif" w:hAnsi="Times New Roman;serif"/>
                <w:b w:val="false"/>
                <w:color w:val="000000"/>
                <w:sz w:val="24"/>
              </w:rPr>
              <w:t>Applicability of Article</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11.2</w:t>
            </w:r>
            <w:r>
              <w:rPr>
                <w:color w:val="000000"/>
              </w:rPr>
              <w:t>    </w:t>
            </w:r>
            <w:r>
              <w:rPr>
                <w:rFonts w:ascii="Times New Roman;serif" w:hAnsi="Times New Roman;serif"/>
                <w:b w:val="false"/>
                <w:color w:val="000000"/>
                <w:sz w:val="24"/>
              </w:rPr>
              <w:t>Satisfaction of Sinking Fund Payments with Securities</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48</w:t>
            </w:r>
          </w:p>
        </w:tc>
      </w:tr>
      <w:tr>
        <w:trPr/>
        <w:tc>
          <w:tcPr>
            <w:tcW w:w="8219"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720"/>
              <w:jc w:val="left"/>
              <w:rPr/>
            </w:pPr>
            <w:r>
              <w:rPr>
                <w:rFonts w:ascii="Times New Roman;serif" w:hAnsi="Times New Roman;serif"/>
                <w:b w:val="false"/>
                <w:color w:val="000000"/>
                <w:sz w:val="24"/>
              </w:rPr>
              <w:t>Section 11.3</w:t>
            </w:r>
            <w:r>
              <w:rPr>
                <w:color w:val="000000"/>
              </w:rPr>
              <w:t>    </w:t>
            </w:r>
            <w:r>
              <w:rPr>
                <w:rFonts w:ascii="Times New Roman;serif" w:hAnsi="Times New Roman;serif"/>
                <w:b w:val="false"/>
                <w:color w:val="000000"/>
                <w:sz w:val="24"/>
              </w:rPr>
              <w:t>Redemption of Securities for Sinking Fund</w:t>
            </w:r>
          </w:p>
        </w:tc>
        <w:tc>
          <w:tcPr>
            <w:tcW w:w="1111" w:type="dxa"/>
            <w:gridSpan w:val="3"/>
            <w:tcBorders/>
            <w:tcMar>
              <w:top w:w="0" w:type="dxa"/>
              <w:left w:w="0" w:type="dxa"/>
              <w:bottom w:w="0" w:type="dxa"/>
              <w:right w:w="0" w:type="dxa"/>
            </w:tcMar>
            <w:vAlign w:val="center"/>
          </w:tcPr>
          <w:p>
            <w:pPr>
              <w:pStyle w:val="TableContents"/>
              <w:bidi w:val="0"/>
              <w:spacing w:lineRule="auto" w:line="240" w:before="2"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49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 w:after="283"/>
        <w:ind w:left="0" w:right="0" w:firstLine="7"/>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4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20"/>
        <w:ind w:left="0" w:right="0" w:firstLine="720"/>
        <w:jc w:val="center"/>
        <w:rPr>
          <w:rFonts w:ascii="Times New Roman;serif" w:hAnsi="Times New Roman;serif"/>
          <w:b/>
          <w:color w:val="000000"/>
          <w:sz w:val="24"/>
        </w:rPr>
      </w:pPr>
      <w:r>
        <w:rPr>
          <w:rFonts w:ascii="Times New Roman;serif" w:hAnsi="Times New Roman;serif"/>
          <w:b/>
          <w:color w:val="000000"/>
          <w:sz w:val="24"/>
        </w:rPr>
        <w:t>EMPLOYERS HOLDINGS, INC.</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Reconciliation and tie between Trust Indenture Act of 1939 and Indenture</w:t>
      </w:r>
    </w:p>
    <w:tbl>
      <w:tblPr>
        <w:tblW w:w="3116" w:type="dxa"/>
        <w:jc w:val="center"/>
        <w:tblInd w:w="0" w:type="dxa"/>
        <w:tblLayout w:type="fixed"/>
        <w:tblCellMar>
          <w:top w:w="28" w:type="dxa"/>
          <w:left w:w="28" w:type="dxa"/>
          <w:bottom w:w="28" w:type="dxa"/>
          <w:right w:w="28" w:type="dxa"/>
        </w:tblCellMar>
      </w:tblPr>
      <w:tblGrid>
        <w:gridCol w:w="428"/>
        <w:gridCol w:w="377"/>
        <w:gridCol w:w="380"/>
        <w:gridCol w:w="109"/>
        <w:gridCol w:w="109"/>
        <w:gridCol w:w="109"/>
        <w:gridCol w:w="468"/>
        <w:gridCol w:w="468"/>
        <w:gridCol w:w="668"/>
      </w:tblGrid>
      <w:tr>
        <w:trPr/>
        <w:tc>
          <w:tcPr>
            <w:tcW w:w="42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310(a)(1)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4.2, 10.5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 Applicable</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7.1</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316(a)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2.10</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6.12</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6.13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317(a)(1)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(a)(2)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6.4</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 318(a)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10.1</w:t>
            </w:r>
          </w:p>
        </w:tc>
      </w:tr>
    </w:tbl>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Note: This reconciliation and tie shall not, for any purpose, be deemed to be part of the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4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xbxContent>
                </v:textbox>
                <w10:wrap type="none"/>
              </v:rect>
            </w:pict>
          </mc:Fallback>
        </mc:AlternateContent>
      </w:r>
    </w:p>
    <w:p>
      <w:pPr>
        <w:pStyle w:val="TextBody"/>
        <w:bidi w:val="0"/>
        <w:spacing w:lineRule="auto" w:line="288" w:before="0" w:after="240"/>
        <w:ind w:left="0" w:right="0" w:firstLine="979"/>
        <w:jc w:val="both"/>
        <w:rPr/>
      </w:pPr>
      <w:r>
        <w:rPr>
          <w:rFonts w:ascii="Times New Roman;serif" w:hAnsi="Times New Roman;serif"/>
          <w:b w:val="false"/>
          <w:color w:val="000000"/>
          <w:sz w:val="24"/>
        </w:rPr>
        <w:t xml:space="preserve">Indenture dated as of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4"/>
        </w:rPr>
        <w:t>between Employers Holdings, Inc., a company incorporated under the laws of Nevada (the “</w:t>
      </w:r>
      <w:r>
        <w:rPr>
          <w:rFonts w:ascii="Times New Roman;serif" w:hAnsi="Times New Roman;serif"/>
          <w:b w:val="false"/>
          <w:i/>
          <w:color w:val="000000"/>
          <w:sz w:val="24"/>
        </w:rPr>
        <w:t>Company</w:t>
      </w:r>
      <w:r>
        <w:rPr>
          <w:color w:val="000000"/>
        </w:rPr>
        <w:t>”</w:t>
      </w:r>
      <w:r>
        <w:rPr>
          <w:rFonts w:ascii="Times New Roman;serif" w:hAnsi="Times New Roman;serif"/>
          <w:b w:val="false"/>
          <w:color w:val="000000"/>
          <w:sz w:val="24"/>
        </w:rPr>
        <w:t>), and [__________], a national banking association organized under the laws of the United States, as trustee (the “</w:t>
      </w:r>
      <w:r>
        <w:rPr>
          <w:rFonts w:ascii="Times New Roman;serif" w:hAnsi="Times New Roman;serif"/>
          <w:b w:val="false"/>
          <w:i/>
          <w:color w:val="000000"/>
          <w:sz w:val="24"/>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Each party agrees as follows for the benefit of the other party and for the equal and ratable benefit of the Holders of the Securities issued under this Indenture.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DEFINITIONS AND INCORPORATION BY REFERENCE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Additional Amounts</w:t>
      </w:r>
      <w:r>
        <w:rPr>
          <w:color w:val="000000"/>
        </w:rPr>
        <w:t xml:space="preserve">” </w:t>
      </w:r>
      <w:r>
        <w:rPr>
          <w:rFonts w:ascii="Times New Roman;serif" w:hAnsi="Times New Roman;serif"/>
          <w:b w:val="false"/>
          <w:color w:val="000000"/>
          <w:sz w:val="24"/>
        </w:rPr>
        <w:t>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Affiliate</w:t>
      </w:r>
      <w:r>
        <w:rPr>
          <w:color w:val="000000"/>
        </w:rPr>
        <w:t xml:space="preserve">” </w:t>
      </w:r>
      <w:r>
        <w:rPr>
          <w:rFonts w:ascii="Times New Roman;serif" w:hAnsi="Times New Roman;serif"/>
          <w:b w:val="false"/>
          <w:color w:val="000000"/>
          <w:sz w:val="24"/>
        </w:rPr>
        <w:t>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Agent</w:t>
      </w:r>
      <w:r>
        <w:rPr>
          <w:color w:val="000000"/>
        </w:rPr>
        <w:t xml:space="preserve">” </w:t>
      </w:r>
      <w:r>
        <w:rPr>
          <w:rFonts w:ascii="Times New Roman;serif" w:hAnsi="Times New Roman;serif"/>
          <w:b w:val="false"/>
          <w:color w:val="000000"/>
          <w:sz w:val="24"/>
        </w:rPr>
        <w:t>means any Registrar, Paying Agent or Notice Agent.</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Board of Directors</w:t>
      </w:r>
      <w:r>
        <w:rPr>
          <w:color w:val="000000"/>
        </w:rPr>
        <w:t xml:space="preserve">” </w:t>
      </w:r>
      <w:r>
        <w:rPr>
          <w:rFonts w:ascii="Times New Roman;serif" w:hAnsi="Times New Roman;serif"/>
          <w:b w:val="false"/>
          <w:color w:val="000000"/>
          <w:sz w:val="24"/>
        </w:rPr>
        <w:t>means the board of directors of the Company or any duly authorized committee thereof.</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Board Resolution</w:t>
      </w:r>
      <w:r>
        <w:rPr>
          <w:color w:val="000000"/>
        </w:rPr>
        <w:t xml:space="preserve">” </w:t>
      </w:r>
      <w:r>
        <w:rPr>
          <w:rFonts w:ascii="Times New Roman;serif" w:hAnsi="Times New Roman;serif"/>
          <w:b w:val="false"/>
          <w:color w:val="000000"/>
          <w:sz w:val="24"/>
        </w:rPr>
        <w:t>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Business Day</w:t>
      </w:r>
      <w:r>
        <w:rPr>
          <w:color w:val="000000"/>
        </w:rPr>
        <w:t xml:space="preserve">” </w:t>
      </w:r>
      <w:r>
        <w:rPr>
          <w:rFonts w:ascii="Times New Roman;serif" w:hAnsi="Times New Roman;serif"/>
          <w:b w:val="false"/>
          <w:color w:val="000000"/>
          <w:sz w:val="24"/>
        </w:rPr>
        <w:t>means, any day except a Saturday, Sunday or a Legal Holiday in The City of New York, New York (or in connection with any payment, the place of payment) on which banking institutions are authorized or required by law, regulation or executive order to close.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Capital Stock</w:t>
      </w:r>
      <w:r>
        <w:rPr>
          <w:color w:val="000000"/>
        </w:rPr>
        <w:t xml:space="preserve">” </w:t>
      </w:r>
      <w:r>
        <w:rPr>
          <w:rFonts w:ascii="Times New Roman;serif" w:hAnsi="Times New Roman;serif"/>
          <w:b w:val="false"/>
          <w:color w:val="000000"/>
          <w:sz w:val="24"/>
        </w:rPr>
        <w:t>means any and all shares, interests, participations, rights or other equivalents (however designated) of corporate stock.</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Common Stock</w:t>
      </w:r>
      <w:r>
        <w:rPr>
          <w:color w:val="000000"/>
        </w:rPr>
        <w:t xml:space="preserve">” </w:t>
      </w:r>
      <w:r>
        <w:rPr>
          <w:rFonts w:ascii="Times New Roman;serif" w:hAnsi="Times New Roman;serif"/>
          <w:b w:val="false"/>
          <w:color w:val="000000"/>
          <w:sz w:val="24"/>
        </w:rPr>
        <w:t xml:space="preserve">means the common stock, par value $0.01 per share, of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4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Company</w:t>
      </w:r>
      <w:r>
        <w:rPr>
          <w:color w:val="000000"/>
        </w:rPr>
        <w:t xml:space="preserve">” </w:t>
      </w:r>
      <w:r>
        <w:rPr>
          <w:rFonts w:ascii="Times New Roman;serif" w:hAnsi="Times New Roman;serif"/>
          <w:b w:val="false"/>
          <w:color w:val="000000"/>
          <w:sz w:val="24"/>
        </w:rPr>
        <w:t>means the party named as such above until a successor replaces it and thereafter means the successor.</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Company Order</w:t>
      </w:r>
      <w:r>
        <w:rPr>
          <w:color w:val="000000"/>
        </w:rPr>
        <w:t xml:space="preserve">” </w:t>
      </w:r>
      <w:r>
        <w:rPr>
          <w:rFonts w:ascii="Times New Roman;serif" w:hAnsi="Times New Roman;serif"/>
          <w:b w:val="false"/>
          <w:color w:val="000000"/>
          <w:sz w:val="24"/>
        </w:rPr>
        <w:t>means a written order signed in the name of the Company by an Officer.</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Corporate Trust Office</w:t>
      </w:r>
      <w:r>
        <w:rPr>
          <w:color w:val="000000"/>
        </w:rPr>
        <w:t>” </w:t>
      </w:r>
      <w:r>
        <w:rPr>
          <w:rFonts w:ascii="Times New Roman;serif" w:hAnsi="Times New Roman;serif"/>
          <w:b w:val="false"/>
          <w:color w:val="000000"/>
          <w:sz w:val="24"/>
        </w:rPr>
        <w:t>means the principal office of the Trustee at which at any time this Indenture shall be administered, which office as of the date hereof is located at the address specified in Section 10.2. With respect to presentation for transfer or exchange, conversions or principal payment, such address shall be at the address specified in Section 10.2, or such other address as the Trustee may designate from time to time by written notice to the Holders and the Company, or the principal corporate trust office of any successor Trustee (or such other address as such successor Trustee may designate from time to time by written notice to the Holders and the Company).</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Default</w:t>
      </w:r>
      <w:r>
        <w:rPr>
          <w:color w:val="000000"/>
        </w:rPr>
        <w:t xml:space="preserve">” </w:t>
      </w:r>
      <w:r>
        <w:rPr>
          <w:rFonts w:ascii="Times New Roman;serif" w:hAnsi="Times New Roman;serif"/>
          <w:b w:val="false"/>
          <w:color w:val="000000"/>
          <w:sz w:val="24"/>
        </w:rPr>
        <w:t>means any event which is, or after notice or passage of time or both would be, an Event of Default.</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Depositary</w:t>
      </w:r>
      <w:r>
        <w:rPr>
          <w:color w:val="000000"/>
        </w:rPr>
        <w:t xml:space="preserve">” </w:t>
      </w:r>
      <w:r>
        <w:rPr>
          <w:rFonts w:ascii="Times New Roman;serif" w:hAnsi="Times New Roman;serif"/>
          <w:b w:val="false"/>
          <w:color w:val="000000"/>
          <w:sz w:val="24"/>
        </w:rPr>
        <w:t>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Discount Security</w:t>
      </w:r>
      <w:r>
        <w:rPr>
          <w:color w:val="000000"/>
        </w:rPr>
        <w:t xml:space="preserve">” </w:t>
      </w:r>
      <w:r>
        <w:rPr>
          <w:rFonts w:ascii="Times New Roman;serif" w:hAnsi="Times New Roman;serif"/>
          <w:b w:val="false"/>
          <w:color w:val="000000"/>
          <w:sz w:val="24"/>
        </w:rPr>
        <w:t>means any Security that provides for an amount less than the stated principal amount thereof to be due and payable upon declaration of acceleration of the maturity thereof pursuant to Section 6.2.</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Dollars</w:t>
      </w:r>
      <w:r>
        <w:rPr>
          <w:color w:val="000000"/>
        </w:rPr>
        <w:t xml:space="preserve">” </w:t>
      </w:r>
      <w:r>
        <w:rPr>
          <w:rFonts w:ascii="Times New Roman;serif" w:hAnsi="Times New Roman;serif"/>
          <w:b w:val="false"/>
          <w:color w:val="000000"/>
          <w:sz w:val="24"/>
        </w:rPr>
        <w:t>and “</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means the currency of The United States of America.</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Exchange Act</w:t>
      </w:r>
      <w:r>
        <w:rPr>
          <w:color w:val="000000"/>
        </w:rPr>
        <w:t xml:space="preserve">” </w:t>
      </w:r>
      <w:r>
        <w:rPr>
          <w:rFonts w:ascii="Times New Roman;serif" w:hAnsi="Times New Roman;serif"/>
          <w:b w:val="false"/>
          <w:color w:val="000000"/>
          <w:sz w:val="24"/>
        </w:rPr>
        <w:t>means the Securities Exchange Act of 1934, as amended.</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Foreign Currency</w:t>
      </w:r>
      <w:r>
        <w:rPr>
          <w:color w:val="000000"/>
        </w:rPr>
        <w:t xml:space="preserve">” </w:t>
      </w:r>
      <w:r>
        <w:rPr>
          <w:rFonts w:ascii="Times New Roman;serif" w:hAnsi="Times New Roman;serif"/>
          <w:b w:val="false"/>
          <w:color w:val="000000"/>
          <w:sz w:val="24"/>
        </w:rPr>
        <w:t>means any currency or currency unit issued by a government other than the government of The United States of America.</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Foreign Government Obligations</w:t>
      </w:r>
      <w:r>
        <w:rPr>
          <w:color w:val="000000"/>
        </w:rPr>
        <w:t xml:space="preserve">” </w:t>
      </w:r>
      <w:r>
        <w:rPr>
          <w:rFonts w:ascii="Times New Roman;serif" w:hAnsi="Times New Roman;serif"/>
          <w:b w:val="false"/>
          <w:color w:val="000000"/>
          <w:sz w:val="24"/>
        </w:rPr>
        <w:t>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GAAP”</w:t>
      </w:r>
      <w:r>
        <w:rPr>
          <w:color w:val="000000"/>
        </w:rPr>
        <w:t xml:space="preserve"> </w:t>
      </w:r>
      <w:r>
        <w:rPr>
          <w:rFonts w:ascii="Times New Roman;serif" w:hAnsi="Times New Roman;serif"/>
          <w:b w:val="false"/>
          <w:color w:val="000000"/>
          <w:sz w:val="24"/>
        </w:rPr>
        <w:t xml:space="preserve">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47"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been approved by a significant segment of the accounting profession, which are in effect as of the date of determination.</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Global Security</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Global Securities</w:t>
      </w:r>
      <w:r>
        <w:rPr>
          <w:color w:val="000000"/>
        </w:rPr>
        <w:t xml:space="preserve">” </w:t>
      </w:r>
      <w:r>
        <w:rPr>
          <w:rFonts w:ascii="Times New Roman;serif" w:hAnsi="Times New Roman;serif"/>
          <w:b w:val="false"/>
          <w:color w:val="000000"/>
          <w:sz w:val="24"/>
        </w:rPr>
        <w:t>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Holder</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Securityholder</w:t>
      </w:r>
      <w:r>
        <w:rPr>
          <w:color w:val="000000"/>
        </w:rPr>
        <w:t xml:space="preserve">” </w:t>
      </w:r>
      <w:r>
        <w:rPr>
          <w:rFonts w:ascii="Times New Roman;serif" w:hAnsi="Times New Roman;serif"/>
          <w:b w:val="false"/>
          <w:color w:val="000000"/>
          <w:sz w:val="24"/>
        </w:rPr>
        <w:t>means a person in whose name a Security is registered on the books of the Registrar.</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Indenture</w:t>
      </w:r>
      <w:r>
        <w:rPr>
          <w:color w:val="000000"/>
        </w:rPr>
        <w:t xml:space="preserve">” </w:t>
      </w:r>
      <w:r>
        <w:rPr>
          <w:rFonts w:ascii="Times New Roman;serif" w:hAnsi="Times New Roman;serif"/>
          <w:b w:val="false"/>
          <w:color w:val="000000"/>
          <w:sz w:val="24"/>
        </w:rPr>
        <w:t>means this Indenture as amended or supplemented from time to time and shall include the form and terms of particular Series of Securities established as contemplated hereunder.</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interest</w:t>
      </w:r>
      <w:r>
        <w:rPr>
          <w:color w:val="000000"/>
        </w:rPr>
        <w:t xml:space="preserve">” </w:t>
      </w:r>
      <w:r>
        <w:rPr>
          <w:rFonts w:ascii="Times New Roman;serif" w:hAnsi="Times New Roman;serif"/>
          <w:b w:val="false"/>
          <w:color w:val="000000"/>
          <w:sz w:val="24"/>
        </w:rPr>
        <w:t>with respect to any Discount Security which by its terms bears interest only after Maturity, means interest payable after Maturity.</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Maturity</w:t>
      </w:r>
      <w:r>
        <w:rPr>
          <w:rFonts w:ascii="Times New Roman;serif" w:hAnsi="Times New Roman;serif"/>
          <w:b w:val="false"/>
          <w:color w:val="000000"/>
          <w:sz w:val="24"/>
        </w:rPr>
        <w:t>,” when used with respect to any Security, means the date on which the principal of such Security becomes due and payable as therein or herein provided, whether at the Stated Maturity or by declaration of acceleration, call for redemption or otherwise.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Officer</w:t>
      </w:r>
      <w:r>
        <w:rPr>
          <w:color w:val="000000"/>
        </w:rPr>
        <w:t xml:space="preserve">” </w:t>
      </w:r>
      <w:r>
        <w:rPr>
          <w:rFonts w:ascii="Times New Roman;serif" w:hAnsi="Times New Roman;serif"/>
          <w:b w:val="false"/>
          <w:color w:val="000000"/>
          <w:sz w:val="24"/>
        </w:rPr>
        <w:t>means the Chief Executive Officer, President, the Chief Financial Officer, the Treasurer or any Assistant Treasurer, the Secretary or any Assistant Secretary, and any Vice President of the Company.</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Officer’s Certificate</w:t>
      </w:r>
      <w:r>
        <w:rPr>
          <w:color w:val="000000"/>
        </w:rPr>
        <w:t xml:space="preserve">” </w:t>
      </w:r>
      <w:r>
        <w:rPr>
          <w:rFonts w:ascii="Times New Roman;serif" w:hAnsi="Times New Roman;serif"/>
          <w:b w:val="false"/>
          <w:color w:val="000000"/>
          <w:sz w:val="24"/>
        </w:rPr>
        <w:t>means a certificate signed by any Officer that meets the requirements of Section 10.5.</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Opinion of Counsel</w:t>
      </w:r>
      <w:r>
        <w:rPr>
          <w:color w:val="000000"/>
        </w:rPr>
        <w:t xml:space="preserve">” </w:t>
      </w:r>
      <w:r>
        <w:rPr>
          <w:rFonts w:ascii="Times New Roman;serif" w:hAnsi="Times New Roman;serif"/>
          <w:b w:val="false"/>
          <w:color w:val="000000"/>
          <w:sz w:val="24"/>
        </w:rPr>
        <w:t>means a written opinion of legal counsel who is acceptable to the Trustee. The opinion may contain customary limitations, qualifications, conditions and exceptions. The counsel may be an employee of or counsel to the Company.</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person</w:t>
      </w:r>
      <w:r>
        <w:rPr>
          <w:color w:val="000000"/>
        </w:rPr>
        <w:t xml:space="preserve">” </w:t>
      </w:r>
      <w:r>
        <w:rPr>
          <w:rFonts w:ascii="Times New Roman;serif" w:hAnsi="Times New Roman;serif"/>
          <w:b w:val="false"/>
          <w:color w:val="000000"/>
          <w:sz w:val="24"/>
        </w:rPr>
        <w:t>means any individual, corporation, partnership, joint venture, association, limited liability company, joint-stock company, trust, unincorporated organization or government or any agency or political subdivision thereof.</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principal</w:t>
      </w:r>
      <w:r>
        <w:rPr>
          <w:color w:val="000000"/>
        </w:rPr>
        <w:t xml:space="preserve">” </w:t>
      </w:r>
      <w:r>
        <w:rPr>
          <w:rFonts w:ascii="Times New Roman;serif" w:hAnsi="Times New Roman;serif"/>
          <w:b w:val="false"/>
          <w:color w:val="000000"/>
          <w:sz w:val="24"/>
        </w:rPr>
        <w:t>of a Security means the principal of the Security plus, when appropriate, the premium, if any, on, and any Additional Amounts in respect of, the Security.</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Responsible Officer</w:t>
      </w:r>
      <w:r>
        <w:rPr>
          <w:color w:val="000000"/>
        </w:rPr>
        <w:t xml:space="preserve">” </w:t>
      </w:r>
      <w:r>
        <w:rPr>
          <w:rFonts w:ascii="Times New Roman;serif" w:hAnsi="Times New Roman;serif"/>
          <w:b w:val="false"/>
          <w:color w:val="000000"/>
          <w:sz w:val="24"/>
        </w:rPr>
        <w:t>means any officer of the Trustee in its Corporate Trust Office having direct responsibility for the administration of this Indenture and also means, with respect to a particular corporate trust matter, any other officer to whom any corporate trust matter is referred because of his or her knowledge of and familiarity with a particular subject.</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48"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Securities</w:t>
      </w:r>
      <w:r>
        <w:rPr>
          <w:color w:val="000000"/>
        </w:rPr>
        <w:t xml:space="preserve">” </w:t>
      </w:r>
      <w:r>
        <w:rPr>
          <w:rFonts w:ascii="Times New Roman;serif" w:hAnsi="Times New Roman;serif"/>
          <w:b w:val="false"/>
          <w:color w:val="000000"/>
          <w:sz w:val="24"/>
        </w:rPr>
        <w:t>means the debentures, notes or other debt instruments of the Company of any Series authenticated and delivered under this Indenture.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Series</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Series of Securities</w:t>
      </w:r>
      <w:r>
        <w:rPr>
          <w:color w:val="000000"/>
        </w:rPr>
        <w:t xml:space="preserve">” </w:t>
      </w:r>
      <w:r>
        <w:rPr>
          <w:rFonts w:ascii="Times New Roman;serif" w:hAnsi="Times New Roman;serif"/>
          <w:b w:val="false"/>
          <w:color w:val="000000"/>
          <w:sz w:val="24"/>
        </w:rPr>
        <w:t>means each series of debentures, notes or other debt instruments of the Company created pursuant to Sections 2.1 and 2.2 hereof.</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Stated Maturity</w:t>
      </w:r>
      <w:r>
        <w:rPr>
          <w:color w:val="000000"/>
        </w:rPr>
        <w:t xml:space="preserve">” </w:t>
      </w:r>
      <w:r>
        <w:rPr>
          <w:rFonts w:ascii="Times New Roman;serif" w:hAnsi="Times New Roman;serif"/>
          <w:b w:val="false"/>
          <w:color w:val="000000"/>
          <w:sz w:val="24"/>
        </w:rPr>
        <w:t>when used with respect to any Security, means the date specified in such Security as the fixed date on which the principal of such Security or interest is due and payable.</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Subsidiary</w:t>
      </w:r>
      <w:r>
        <w:rPr>
          <w:color w:val="000000"/>
        </w:rPr>
        <w:t xml:space="preserve">” </w:t>
      </w:r>
      <w:r>
        <w:rPr>
          <w:rFonts w:ascii="Times New Roman;serif" w:hAnsi="Times New Roman;serif"/>
          <w:b w:val="false"/>
          <w:color w:val="000000"/>
          <w:sz w:val="24"/>
        </w:rPr>
        <w:t>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TIA</w:t>
      </w:r>
      <w:r>
        <w:rPr>
          <w:color w:val="000000"/>
        </w:rPr>
        <w:t xml:space="preserve">” </w:t>
      </w:r>
      <w:r>
        <w:rPr>
          <w:rFonts w:ascii="Times New Roman;serif" w:hAnsi="Times New Roman;serif"/>
          <w:b w:val="false"/>
          <w:color w:val="000000"/>
          <w:sz w:val="24"/>
        </w:rPr>
        <w:t xml:space="preserve">means the Trust Indenture Act of 1939 (15 U.S. Code §§ 77aaa-77bbbb) as in effect on the date of this Indenture;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in the event the Trust Indenture Act of 1939 is amended after such date, “TIA” means, to the extent required by any such amendment, the Trust Indenture Act as so amended.</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Trustee</w:t>
      </w:r>
      <w:r>
        <w:rPr>
          <w:color w:val="000000"/>
        </w:rPr>
        <w:t xml:space="preserve">” </w:t>
      </w:r>
      <w:r>
        <w:rPr>
          <w:rFonts w:ascii="Times New Roman;serif" w:hAnsi="Times New Roman;serif"/>
          <w:b w:val="false"/>
          <w:color w:val="000000"/>
          <w:sz w:val="24"/>
        </w:rPr>
        <w:t>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U.S. Government Obligations</w:t>
      </w:r>
      <w:r>
        <w:rPr>
          <w:color w:val="000000"/>
        </w:rPr>
        <w:t xml:space="preserve">” </w:t>
      </w:r>
      <w:r>
        <w:rPr>
          <w:rFonts w:ascii="Times New Roman;serif" w:hAnsi="Times New Roman;serif"/>
          <w:b w:val="false"/>
          <w:color w:val="000000"/>
          <w:sz w:val="24"/>
        </w:rPr>
        <w:t xml:space="preserve">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49"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1.2    </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 </w:t>
      </w:r>
    </w:p>
    <w:tbl>
      <w:tblPr>
        <w:tblW w:w="6059" w:type="dxa"/>
        <w:jc w:val="left"/>
        <w:tblInd w:w="0" w:type="dxa"/>
        <w:tblLayout w:type="fixed"/>
        <w:tblCellMar>
          <w:top w:w="28" w:type="dxa"/>
          <w:left w:w="28" w:type="dxa"/>
          <w:bottom w:w="28" w:type="dxa"/>
          <w:right w:w="28" w:type="dxa"/>
        </w:tblCellMar>
      </w:tblPr>
      <w:tblGrid>
        <w:gridCol w:w="1246"/>
        <w:gridCol w:w="1095"/>
        <w:gridCol w:w="1108"/>
        <w:gridCol w:w="763"/>
        <w:gridCol w:w="763"/>
        <w:gridCol w:w="1084"/>
      </w:tblGrid>
      <w:tr>
        <w:trPr/>
        <w:tc>
          <w:tcPr>
            <w:tcW w:w="124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TERM</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DEFINED IN SECTION</w:t>
            </w:r>
          </w:p>
        </w:tc>
      </w:tr>
      <w:tr>
        <w:trPr/>
        <w:tc>
          <w:tcPr>
            <w:tcW w:w="344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Bankruptcy Law</w:t>
            </w:r>
            <w:r>
              <w:rPr>
                <w:color w:val="000000"/>
              </w:rPr>
              <w:t>”</w:t>
            </w:r>
          </w:p>
        </w:tc>
        <w:tc>
          <w:tcPr>
            <w:tcW w:w="26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Custodian</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Event of Default</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Judgment Currency</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10.16</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Legal Holiday</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10.7</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mandatory sinking fund payment</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New York Banking Day</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10.16</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Notice Agent</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optional sinking fund payment</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11.1</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Paying Agent</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Registrar</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2.4</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Required Currency</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10.16</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Specified Courts</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10.10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i/>
                <w:color w:val="000000"/>
                <w:sz w:val="24"/>
              </w:rPr>
              <w:t>successor person</w:t>
            </w:r>
            <w:r>
              <w:rPr>
                <w:color w:val="000000"/>
              </w:rPr>
              <w:t>”</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5.1</w:t>
            </w:r>
          </w:p>
        </w:tc>
      </w:tr>
    </w:tbl>
    <w:p>
      <w:pPr>
        <w:pStyle w:val="TextBody"/>
        <w:bidi w:val="0"/>
        <w:spacing w:lineRule="auto" w:line="288" w:before="0" w:after="240"/>
        <w:ind w:left="0" w:right="0" w:firstLine="720"/>
        <w:jc w:val="left"/>
        <w:rPr/>
      </w:pPr>
      <w:r>
        <w:rPr>
          <w:rFonts w:ascii="Times New Roman;serif" w:hAnsi="Times New Roman;serif"/>
          <w:b w:val="false"/>
          <w:color w:val="000000"/>
          <w:sz w:val="24"/>
        </w:rPr>
        <w:t>Section 1.3    </w:t>
      </w:r>
      <w:r>
        <w:rPr>
          <w:rFonts w:ascii="Times New Roman;serif" w:hAnsi="Times New Roman;serif"/>
          <w:b w:val="false"/>
          <w:color w:val="000000"/>
          <w:sz w:val="24"/>
          <w:u w:val="single"/>
        </w:rPr>
        <w:t>Incorporation by Reference of Trust Indenture Act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Whenever this Indenture refers to a provision of the TIA, the provision is incorporated by reference in and made a part of this Indenture. The following TIA terms used in this Indenture have the following meanings: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Commission</w:t>
      </w:r>
      <w:r>
        <w:rPr>
          <w:color w:val="000000"/>
        </w:rPr>
        <w:t xml:space="preserve">” </w:t>
      </w:r>
      <w:r>
        <w:rPr>
          <w:rFonts w:ascii="Times New Roman;serif" w:hAnsi="Times New Roman;serif"/>
          <w:b w:val="false"/>
          <w:color w:val="000000"/>
          <w:sz w:val="24"/>
        </w:rPr>
        <w:t>means the SEC.</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indenture securities</w:t>
      </w:r>
      <w:r>
        <w:rPr>
          <w:color w:val="000000"/>
        </w:rPr>
        <w:t xml:space="preserve">” </w:t>
      </w:r>
      <w:r>
        <w:rPr>
          <w:rFonts w:ascii="Times New Roman;serif" w:hAnsi="Times New Roman;serif"/>
          <w:b w:val="false"/>
          <w:color w:val="000000"/>
          <w:sz w:val="24"/>
        </w:rPr>
        <w:t>means the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indenture security holder</w:t>
      </w:r>
      <w:r>
        <w:rPr>
          <w:color w:val="000000"/>
        </w:rPr>
        <w:t xml:space="preserve">” </w:t>
      </w:r>
      <w:r>
        <w:rPr>
          <w:rFonts w:ascii="Times New Roman;serif" w:hAnsi="Times New Roman;serif"/>
          <w:b w:val="false"/>
          <w:color w:val="000000"/>
          <w:sz w:val="24"/>
        </w:rPr>
        <w:t>means a Securityholder.</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indenture to be qualified”</w:t>
      </w:r>
      <w:r>
        <w:rPr>
          <w:color w:val="000000"/>
        </w:rPr>
        <w:t xml:space="preserve"> </w:t>
      </w:r>
      <w:r>
        <w:rPr>
          <w:rFonts w:ascii="Times New Roman;serif" w:hAnsi="Times New Roman;serif"/>
          <w:b w:val="false"/>
          <w:color w:val="000000"/>
          <w:sz w:val="24"/>
        </w:rPr>
        <w:t>means this Indenture.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indenture trustee</w:t>
      </w:r>
      <w:r>
        <w:rPr>
          <w:color w:val="000000"/>
        </w:rPr>
        <w:t xml:space="preserve">” </w:t>
      </w:r>
      <w:r>
        <w:rPr>
          <w:rFonts w:ascii="Times New Roman;serif" w:hAnsi="Times New Roman;serif"/>
          <w:b w:val="false"/>
          <w:color w:val="000000"/>
          <w:sz w:val="24"/>
        </w:rPr>
        <w:t>or “</w:t>
      </w:r>
      <w:r>
        <w:rPr>
          <w:rFonts w:ascii="Times New Roman;serif" w:hAnsi="Times New Roman;serif"/>
          <w:b w:val="false"/>
          <w:i/>
          <w:color w:val="000000"/>
          <w:sz w:val="24"/>
        </w:rPr>
        <w:t>institutional trustee</w:t>
      </w:r>
      <w:r>
        <w:rPr>
          <w:color w:val="000000"/>
        </w:rPr>
        <w:t xml:space="preserve">” </w:t>
      </w:r>
      <w:r>
        <w:rPr>
          <w:rFonts w:ascii="Times New Roman;serif" w:hAnsi="Times New Roman;serif"/>
          <w:b w:val="false"/>
          <w:color w:val="000000"/>
          <w:sz w:val="24"/>
        </w:rPr>
        <w:t>means the Trustee.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i/>
          <w:color w:val="000000"/>
          <w:sz w:val="24"/>
        </w:rPr>
        <w:t>obligor</w:t>
      </w:r>
      <w:r>
        <w:rPr>
          <w:color w:val="000000"/>
        </w:rPr>
        <w:t xml:space="preserve">” </w:t>
      </w:r>
      <w:r>
        <w:rPr>
          <w:rFonts w:ascii="Times New Roman;serif" w:hAnsi="Times New Roman;serif"/>
          <w:b w:val="false"/>
          <w:color w:val="000000"/>
          <w:sz w:val="24"/>
        </w:rPr>
        <w:t>on the indenture securities means the Company and any successor obligor upon the Securities.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1.4    </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 term has the meaning assigned to it;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an accounting term not otherwise defined has the meaning assigned to it in accordance with GAAP;</w:t>
      </w:r>
    </w:p>
    <w:p>
      <w:pPr>
        <w:pStyle w:val="TextBody"/>
        <w:bidi w:val="0"/>
        <w:spacing w:lineRule="auto" w:line="288" w:before="0" w:after="240"/>
        <w:ind w:left="0" w:right="0" w:firstLine="1440"/>
        <w:jc w:val="left"/>
        <w:rPr/>
      </w:pPr>
      <w:r>
        <w:rPr>
          <w:rFonts w:ascii="Times New Roman;serif" w:hAnsi="Times New Roman;serif"/>
          <w:b w:val="false"/>
          <w:color w:val="000000"/>
          <w:sz w:val="24"/>
        </w:rPr>
        <w:t>(c)    “</w:t>
      </w:r>
      <w:r>
        <w:rPr>
          <w:rFonts w:ascii="Times New Roman;serif" w:hAnsi="Times New Roman;serif"/>
          <w:b w:val="false"/>
          <w:i/>
          <w:color w:val="000000"/>
          <w:sz w:val="24"/>
        </w:rPr>
        <w:t>or</w:t>
      </w:r>
      <w:r>
        <w:rPr>
          <w:color w:val="000000"/>
        </w:rPr>
        <w:t xml:space="preserve">” </w:t>
      </w:r>
      <w:r>
        <w:rPr>
          <w:rFonts w:ascii="Times New Roman;serif" w:hAnsi="Times New Roman;serif"/>
          <w:b w:val="false"/>
          <w:color w:val="000000"/>
          <w:sz w:val="24"/>
        </w:rPr>
        <w:t>is not exclusive;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words in the singular include the plural, and in the plural include the singular;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provisions apply to successive events and transactions.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Issuable in Series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2.2    </w:t>
      </w:r>
      <w:r>
        <w:rPr>
          <w:rFonts w:ascii="Times New Roman;serif" w:hAnsi="Times New Roman;serif"/>
          <w:b w:val="false"/>
          <w:color w:val="000000"/>
          <w:sz w:val="24"/>
          <w:u w:val="single"/>
        </w:rPr>
        <w:t>Establishment of Terms of Series of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    the title (which shall distinguish the Securities of that particular Series from the Securities of any other Series) and ranking (including the terms of any subordination provisions) of the Series;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2.2.2.    the price or prices (expressed as a percentage of the principal amount thereof) at which the Securities of the Series will be issued;</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2.2.4.    the date or dates on which the principal of the Securities of the Series is payable;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2.2.7.    the right, if any, to defer payment of interest and the maximum length of any such deferral period;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2.2.8.    if applicable, the period or periods within which, the price or prices at which and the terms and conditions upon which the Securities of the Series may be redeemed, in whole or in part, at the option of the Company;</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2.2.9.    the obligation, if any, of the Company to repurchase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2.2.10.    if other than denominations of $1,000 and any integral multiple thereof, the denominations in which the Securities of the Series shall be issuable;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2.2.11.    the provisions relating to conversion or exchange of any Securities of the Series into the Company’s Common Stock or other securities and the terms and conditions upon which such Securities will be so convertible or exchangeable, including the conversion or exchange price, as applicable, or such conversion or exchange price will be calculated and any adjustments thereto, any mandatory or optional (at the option of the Company or the Holders of the Securities of a Series) conversion or exchange provisions, the applicable conversion or exchange period and the manner of settlement for any such conversion or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2.2.12.    the forms of the Securities of the Series and whether the Securities will be issuable as Global Securities;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2.2.13.    if other than the principal amount thereof, the portion of the principal amount of the Securities of the Series that shall be payable upon declaration of acceleration of the maturity thereof pursuant to Section 6.2;</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2.2.14.    the currency of denomination of the Securities of the Series, which may be Dollars or any Foreign Currency, and if such currency of denomination is a composite currency, the agency or organization, if any, responsible for overseeing such composite currency;</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2.2.15.    the designation of the currency, currencies or currency units in which payment of the principal of and interest, if any, on the Securities of the Series will be made and, if other than that or those in which such Securities are denominated, the manner in which the exchange rate with respect to such payments will be determined;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2.2.16.    the manner in which the amounts of payment of principal of or any premium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2.2.17.    the provisions, if any, relating to any security provided for the Securities of the Series;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2.2.18.    any addition to, deletion of or change in the covenants set forth in Articles IV or V or the Events of Default that applies to any Securities of the Series and any change in the right of the Trustee or the requisite Holders of such Securities to declare the principal amount thereof due and payable pursuant to Section 6.2;</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2.2.19.    any Depositaries, interest rate calculation agents, exchange rate calculation agents, conversion agents or other agents with respect to Securities of such Series if other than those appointed herein;</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2.2.20.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2.2.21.    whether any of the Company’s direct or indirect Subsidiaries will guarantee the Securities of that Series, including the terms of subordination, if any, of such guarantees.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All Securities of any one Series need not be issued at the same time and may be issued from time to time, consistent with the terms of this Indenture, if so provided by or pursuant to the Board Resolution, supplemental indenture hereto or Officer’s Certificate referred to above. No Board Resolution, supplemental indenture hereto or Officer’s Certificate may affect the Trustee’s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own rights, duties or immunities under this Indenture or otherwise with respect to any Series of Securities except as the Trustee may agree in writing.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2.3    </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An Officer shall sign the Securities for the Company by manual or facsimile signature.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an Officer whose signature is on a Security no longer holds that office at the time the Security is authenticated, the Security shall nevertheless be valid.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(c) an Opinion of Counsel complying with Section 10.4 and (d) an Opinion of Counsel (which may be the same Opinion of Counsel referred to in the preceding clause (c)) that such Securities, when they have been duly executed, issued, and authenticated in accordance with the terms of the Indenture and delivered against payment therefor in the circumstances described in such Opinion of Counsel, will be legally valid and binding obligations of the Company, enforceable against the Company in accordance with their terms.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shall have the right to decline to authenticate and deliver any Securities of such Series: (a) if the Trustee, being advised by counsel, determines that such action may not be taken lawfully; or (b) if the Trustee in good faith shall determine that such action would expose the Trustee to personal liability to Holders of any then-outstanding Series of Securities.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2.4    </w:t>
      </w:r>
      <w:r>
        <w:rPr>
          <w:rFonts w:ascii="Times New Roman;serif" w:hAnsi="Times New Roman;serif"/>
          <w:b w:val="false"/>
          <w:color w:val="000000"/>
          <w:sz w:val="24"/>
          <w:u w:val="single"/>
        </w:rPr>
        <w:t>Registrar and Paying Agent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Times New Roman;serif" w:hAnsi="Times New Roman;serif"/>
          <w:b w:val="false"/>
          <w:i/>
          <w:color w:val="000000"/>
          <w:sz w:val="24"/>
        </w:rPr>
        <w:t>Paying Agent</w:t>
      </w:r>
      <w:r>
        <w:rPr>
          <w:color w:val="000000"/>
        </w:rPr>
        <w:t>”</w:t>
      </w:r>
      <w:r>
        <w:rPr>
          <w:rFonts w:ascii="Times New Roman;serif" w:hAnsi="Times New Roman;serif"/>
          <w:b w:val="false"/>
          <w:color w:val="000000"/>
          <w:sz w:val="24"/>
        </w:rPr>
        <w:t>), where Securities of such Series may be surrendered for registration of transfer or exchange (“</w:t>
      </w:r>
      <w:r>
        <w:rPr>
          <w:rFonts w:ascii="Times New Roman;serif" w:hAnsi="Times New Roman;serif"/>
          <w:b w:val="false"/>
          <w:i/>
          <w:color w:val="000000"/>
          <w:sz w:val="24"/>
        </w:rPr>
        <w:t>Registrar</w:t>
      </w:r>
      <w:r>
        <w:rPr>
          <w:color w:val="000000"/>
        </w:rPr>
        <w:t>”</w:t>
      </w:r>
      <w:r>
        <w:rPr>
          <w:rFonts w:ascii="Times New Roman;serif" w:hAnsi="Times New Roman;serif"/>
          <w:b w:val="false"/>
          <w:color w:val="000000"/>
          <w:sz w:val="24"/>
        </w:rPr>
        <w:t>) and where notices and demands to or upon the Company in respect of the Securities of such Series and this Indenture may be delivered (“</w:t>
      </w:r>
      <w:r>
        <w:rPr>
          <w:rFonts w:ascii="Times New Roman;serif" w:hAnsi="Times New Roman;serif"/>
          <w:b w:val="false"/>
          <w:i/>
          <w:color w:val="000000"/>
          <w:sz w:val="24"/>
        </w:rPr>
        <w:t>Notice Agent</w:t>
      </w:r>
      <w:r>
        <w:rPr>
          <w:color w:val="000000"/>
        </w:rPr>
        <w:t>”</w:t>
      </w:r>
      <w:r>
        <w:rPr>
          <w:rFonts w:ascii="Times New Roman;serif" w:hAnsi="Times New Roman;serif"/>
          <w:b w:val="false"/>
          <w:color w:val="000000"/>
          <w:sz w:val="24"/>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appointment of the Trustee as the Notice Agent shall exclude the appointment of the Trustee or any office of the Trustee as an agent to receive the service of legal process on the Company.</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The Company may also from time to time designate one or more co-registrars, additional paying agents or additional notice agents and may from time to time rescind such designations;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Times New Roman;serif" w:hAnsi="Times New Roman;serif"/>
          <w:b w:val="false"/>
          <w:i/>
          <w:color w:val="000000"/>
          <w:sz w:val="24"/>
        </w:rPr>
        <w:t>Registrar</w:t>
      </w:r>
      <w:r>
        <w:rPr>
          <w:color w:val="000000"/>
        </w:rPr>
        <w:t xml:space="preserve">” </w:t>
      </w:r>
      <w:r>
        <w:rPr>
          <w:rFonts w:ascii="Times New Roman;serif" w:hAnsi="Times New Roman;serif"/>
          <w:b w:val="false"/>
          <w:color w:val="000000"/>
          <w:sz w:val="24"/>
        </w:rPr>
        <w:t>includes any co-registrar; the term “</w:t>
      </w:r>
      <w:r>
        <w:rPr>
          <w:rFonts w:ascii="Times New Roman;serif" w:hAnsi="Times New Roman;serif"/>
          <w:b w:val="false"/>
          <w:i/>
          <w:color w:val="000000"/>
          <w:sz w:val="24"/>
        </w:rPr>
        <w:t>Paying Agent</w:t>
      </w:r>
      <w:r>
        <w:rPr>
          <w:color w:val="000000"/>
        </w:rPr>
        <w:t xml:space="preserve">” </w:t>
      </w:r>
      <w:r>
        <w:rPr>
          <w:rFonts w:ascii="Times New Roman;serif" w:hAnsi="Times New Roman;serif"/>
          <w:b w:val="false"/>
          <w:color w:val="000000"/>
          <w:sz w:val="24"/>
        </w:rPr>
        <w:t>includes any additional paying agent; and the term “</w:t>
      </w:r>
      <w:r>
        <w:rPr>
          <w:rFonts w:ascii="Times New Roman;serif" w:hAnsi="Times New Roman;serif"/>
          <w:b w:val="false"/>
          <w:i/>
          <w:color w:val="000000"/>
          <w:sz w:val="24"/>
        </w:rPr>
        <w:t>Notice Agent</w:t>
      </w:r>
      <w:r>
        <w:rPr>
          <w:color w:val="000000"/>
        </w:rPr>
        <w:t xml:space="preserve">” </w:t>
      </w:r>
      <w:r>
        <w:rPr>
          <w:rFonts w:ascii="Times New Roman;serif" w:hAnsi="Times New Roman;serif"/>
          <w:b w:val="false"/>
          <w:color w:val="000000"/>
          <w:sz w:val="24"/>
        </w:rPr>
        <w:t>includes any additional notice agent. The Company or any of its Affiliates may serve as Registrar or Paying Agent.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2.5    </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55"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2.6    </w:t>
      </w:r>
      <w:r>
        <w:rPr>
          <w:rFonts w:ascii="Times New Roman;serif" w:hAnsi="Times New Roman;serif"/>
          <w:b w:val="false"/>
          <w:color w:val="000000"/>
          <w:sz w:val="24"/>
          <w:u w:val="single"/>
        </w:rPr>
        <w:t>Securityholder Lists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2.7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2.8    </w:t>
      </w:r>
      <w:r>
        <w:rPr>
          <w:rFonts w:ascii="Times New Roman;serif" w:hAnsi="Times New Roman;serif"/>
          <w:b w:val="false"/>
          <w:color w:val="000000"/>
          <w:sz w:val="24"/>
          <w:u w:val="single"/>
        </w:rPr>
        <w:t>Mutilated, Destroyed, Lost and Stolen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case any such mutilated, destroyed, lost or stolen Security has become or is about to become due and payable, the Company in its discretion may, instead of issuing a new Security, pay such Security.</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provisions of this Section are exclusive and shall preclude (to the extent lawful) all other rights and remedies with respect to the replacement or payment of mutilated, destroyed, lost or stolen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2.9    </w:t>
      </w:r>
      <w:r>
        <w:rPr>
          <w:rFonts w:ascii="Times New Roman;serif" w:hAnsi="Times New Roman;serif"/>
          <w:b w:val="false"/>
          <w:color w:val="000000"/>
          <w:sz w:val="24"/>
          <w:u w:val="single"/>
        </w:rPr>
        <w:t>Outstanding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 Security is replaced pursuant to Section 2.8, it ceases to be outstanding until the Trustee receives proof satisfactory to it that the replaced Security is held by a bona fide purchaser.</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may purchase or otherwise acquire the Securities, whether by open market purchases, negotiated transactions or otherwise. A Security does not cease to be outstanding because the Company or an Affiliate of the Company holds the Security (but see Section 2.10 below).</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57"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2.10    </w:t>
      </w:r>
      <w:r>
        <w:rPr>
          <w:rFonts w:ascii="Times New Roman;serif" w:hAnsi="Times New Roman;serif"/>
          <w:b w:val="false"/>
          <w:color w:val="000000"/>
          <w:sz w:val="24"/>
          <w:u w:val="single"/>
        </w:rPr>
        <w:t>Treasury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actually knows are so owned shall be so disregarded.</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2.11    </w:t>
      </w:r>
      <w:r>
        <w:rPr>
          <w:rFonts w:ascii="Times New Roman;serif" w:hAnsi="Times New Roman;serif"/>
          <w:b w:val="false"/>
          <w:color w:val="000000"/>
          <w:sz w:val="24"/>
          <w:u w:val="single"/>
        </w:rPr>
        <w:t>Temporary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2.12    </w:t>
      </w:r>
      <w:r>
        <w:rPr>
          <w:rFonts w:ascii="Times New Roman;serif" w:hAnsi="Times New Roman;serif"/>
          <w:b w:val="false"/>
          <w:color w:val="000000"/>
          <w:sz w:val="24"/>
          <w:u w:val="single"/>
        </w:rPr>
        <w:t>Cancellation</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in accordance with its customary procedures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2.13    </w:t>
      </w:r>
      <w:r>
        <w:rPr>
          <w:rFonts w:ascii="Times New Roman;serif" w:hAnsi="Times New Roman;serif"/>
          <w:b w:val="false"/>
          <w:color w:val="000000"/>
          <w:sz w:val="24"/>
          <w:u w:val="single"/>
        </w:rPr>
        <w:t>Defaulted Interest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58"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notice that states the special record date, the payment date and the amount of interest to be paid. The Company may pay defaulted interest in any other lawful manner.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2.14    </w:t>
      </w:r>
      <w:r>
        <w:rPr>
          <w:rFonts w:ascii="Times New Roman;serif" w:hAnsi="Times New Roman;serif"/>
          <w:b w:val="false"/>
          <w:color w:val="000000"/>
          <w:sz w:val="24"/>
          <w:u w:val="single"/>
        </w:rPr>
        <w:t>Global Securities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2.14.1.    </w:t>
      </w:r>
      <w:r>
        <w:rPr>
          <w:rFonts w:ascii="Times New Roman;serif" w:hAnsi="Times New Roman;serif"/>
          <w:b w:val="false"/>
          <w:color w:val="000000"/>
          <w:sz w:val="24"/>
          <w:u w:val="single"/>
        </w:rPr>
        <w:t>Terms of Securities</w:t>
      </w:r>
      <w:r>
        <w:rPr>
          <w:rFonts w:ascii="Times New Roman;serif" w:hAnsi="Times New Roman;serif"/>
          <w:b w:val="false"/>
          <w:color w:val="000000"/>
          <w:sz w:val="24"/>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2.14.2.    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lineRule="auto" w:line="288" w:before="0" w:after="240"/>
        <w:ind w:left="0" w:right="0" w:firstLine="490"/>
        <w:jc w:val="left"/>
        <w:rPr>
          <w:rFonts w:ascii="Times New Roman;serif" w:hAnsi="Times New Roman;serif"/>
          <w:b w:val="false"/>
          <w:color w:val="000000"/>
          <w:sz w:val="24"/>
        </w:rPr>
      </w:pPr>
      <w:r>
        <w:rPr>
          <w:rFonts w:ascii="Times New Roman;serif" w:hAnsi="Times New Roman;serif"/>
          <w:b w:val="false"/>
          <w:color w:val="000000"/>
          <w:sz w:val="24"/>
        </w:rPr>
        <w:t>Neither the Trustee nor any Agent shall have any responsibility for any actions taken or not taken by the Depositary.</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2.14.3.    </w:t>
      </w:r>
      <w:r>
        <w:rPr>
          <w:rFonts w:ascii="Times New Roman;serif" w:hAnsi="Times New Roman;serif"/>
          <w:b w:val="false"/>
          <w:color w:val="000000"/>
          <w:sz w:val="24"/>
          <w:u w:val="single"/>
        </w:rPr>
        <w:t>Legends</w:t>
      </w:r>
      <w:r>
        <w:rPr>
          <w:rFonts w:ascii="Times New Roman;serif" w:hAnsi="Times New Roman;serif"/>
          <w:b w:val="false"/>
          <w:color w:val="000000"/>
          <w:sz w:val="24"/>
        </w:rPr>
        <w:t>. Any Global Security issued hereunder shall bear a legend in substantially the following form:</w:t>
      </w:r>
    </w:p>
    <w:p>
      <w:pPr>
        <w:pStyle w:val="TextBody"/>
        <w:bidi w:val="0"/>
        <w:spacing w:lineRule="auto" w:line="288" w:before="0" w:after="240"/>
        <w:ind w:left="0" w:right="0" w:firstLine="979"/>
        <w:jc w:val="left"/>
        <w:rPr>
          <w:color w:val="000000"/>
        </w:rPr>
      </w:pPr>
      <w:r>
        <w:rPr>
          <w:color w:val="000000"/>
        </w:rPr>
        <w:t>“</w:t>
      </w:r>
      <w:r>
        <w:rPr>
          <w:rFonts w:ascii="Times New Roman;serif" w:hAnsi="Times New Roman;serif"/>
          <w:b w:val="false"/>
          <w:color w:val="000000"/>
          <w:sz w:val="24"/>
        </w:rPr>
        <w:t xml:space="preserve">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59"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NOMINEE TO A SUCCESSOR DEPOSITARY OR A NOMINEE OF SUCH A SUCCESSOR DEPOSITARY.”</w:t>
      </w:r>
    </w:p>
    <w:p>
      <w:pPr>
        <w:pStyle w:val="TextBody"/>
        <w:bidi w:val="0"/>
        <w:spacing w:lineRule="auto" w:line="288" w:before="0" w:after="240"/>
        <w:ind w:left="0" w:right="0" w:firstLine="979"/>
        <w:jc w:val="left"/>
        <w:rPr/>
      </w:pPr>
      <w:r>
        <w:rPr>
          <w:rFonts w:ascii="Times New Roman;serif" w:hAnsi="Times New Roman;serif"/>
          <w:b w:val="false"/>
          <w:color w:val="000000"/>
          <w:sz w:val="24"/>
        </w:rPr>
        <w:t>In addition, so long as the Depository Trust Company (“</w:t>
      </w:r>
      <w:r>
        <w:rPr>
          <w:rFonts w:ascii="Times New Roman;serif" w:hAnsi="Times New Roman;serif"/>
          <w:b w:val="false"/>
          <w:i/>
          <w:color w:val="000000"/>
          <w:sz w:val="24"/>
        </w:rPr>
        <w:t>DTC</w:t>
      </w:r>
      <w:r>
        <w:rPr>
          <w:color w:val="000000"/>
        </w:rPr>
        <w:t>”</w:t>
      </w:r>
      <w:r>
        <w:rPr>
          <w:rFonts w:ascii="Times New Roman;serif" w:hAnsi="Times New Roman;serif"/>
          <w:b w:val="false"/>
          <w:color w:val="000000"/>
          <w:sz w:val="24"/>
        </w:rPr>
        <w:t>) is the Depositary, each Global Note registered in the name of DTC or its nominee shall bear a legend in substantially the following form:</w:t>
      </w:r>
    </w:p>
    <w:p>
      <w:pPr>
        <w:pStyle w:val="TextBody"/>
        <w:bidi w:val="0"/>
        <w:spacing w:lineRule="auto" w:line="288" w:before="0" w:after="240"/>
        <w:ind w:left="0" w:right="0" w:firstLine="979"/>
        <w:jc w:val="left"/>
        <w:rPr>
          <w:color w:val="000000"/>
        </w:rPr>
      </w:pPr>
      <w:r>
        <w:rPr>
          <w:color w:val="000000"/>
        </w:rPr>
        <w:t>“</w:t>
      </w:r>
      <w:r>
        <w:rPr>
          <w:rFonts w:ascii="Times New Roman;serif" w:hAnsi="Times New Roman;serif"/>
          <w:b w:val="false"/>
          <w:color w:val="000000"/>
          <w:sz w:val="24"/>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THE REGISTERED OWNER HEREOF, CEDE &amp; CO., HAS AN INTEREST HEREIN.”</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2.14.4.    </w:t>
      </w:r>
      <w:r>
        <w:rPr>
          <w:rFonts w:ascii="Times New Roman;serif" w:hAnsi="Times New Roman;serif"/>
          <w:b w:val="false"/>
          <w:color w:val="000000"/>
          <w:sz w:val="24"/>
          <w:u w:val="single"/>
        </w:rPr>
        <w:t>Acts of Holders</w:t>
      </w:r>
      <w:r>
        <w:rPr>
          <w:rFonts w:ascii="Times New Roman;serif" w:hAnsi="Times New Roman;serif"/>
          <w:b w:val="false"/>
          <w:color w:val="000000"/>
          <w:sz w:val="24"/>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officer the execution thereof. Where such execution is by a signer acting in a capacity other than such signer’s individual capacity, such certificate or affidavit shall also constitute sufficient proof of such signer’s authority. The fact and date of the execution of any such instrument or writing, or the authority of the Person executing the same, may also be proved in any other manner which the Trustee deems sufficient.</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60"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(c)    The ownership of Global Securities or any Securities issued in certificated form shall be proved by the Registrar.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If the Company shall solicit from the Holders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provided that no such authorization, agreement or consent by the Holders on such record date shall be deemed effective unless it shall become effective pursuant to the provisions of this Indenture not later than six months after the record date.</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2.14.5.    </w:t>
      </w:r>
      <w:r>
        <w:rPr>
          <w:rFonts w:ascii="Times New Roman;serif" w:hAnsi="Times New Roman;serif"/>
          <w:b w:val="false"/>
          <w:color w:val="000000"/>
          <w:sz w:val="24"/>
          <w:u w:val="single"/>
        </w:rPr>
        <w:t>Payments</w:t>
      </w:r>
      <w:r>
        <w:rPr>
          <w:rFonts w:ascii="Times New Roman;serif" w:hAnsi="Times New Roman;serif"/>
          <w:b w:val="false"/>
          <w:color w:val="000000"/>
          <w:sz w:val="24"/>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lineRule="auto" w:line="288" w:before="0" w:after="240"/>
        <w:ind w:left="0" w:right="0" w:firstLine="979"/>
        <w:jc w:val="left"/>
        <w:rPr/>
      </w:pPr>
      <w:r>
        <w:rPr>
          <w:rFonts w:ascii="Times New Roman;serif" w:hAnsi="Times New Roman;serif"/>
          <w:b w:val="false"/>
          <w:color w:val="000000"/>
          <w:sz w:val="24"/>
        </w:rPr>
        <w:t>2.14.6.    </w:t>
      </w:r>
      <w:r>
        <w:rPr>
          <w:rFonts w:ascii="Times New Roman;serif" w:hAnsi="Times New Roman;serif"/>
          <w:b w:val="false"/>
          <w:color w:val="000000"/>
          <w:sz w:val="24"/>
          <w:u w:val="single"/>
        </w:rPr>
        <w:t>Consents, Declaration and Directions</w:t>
      </w:r>
      <w:r>
        <w:rPr>
          <w:rFonts w:ascii="Times New Roman;serif" w:hAnsi="Times New Roman;serif"/>
          <w:b w:val="false"/>
          <w:color w:val="000000"/>
          <w:sz w:val="24"/>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2.15    </w:t>
      </w:r>
      <w:r>
        <w:rPr>
          <w:rFonts w:ascii="Times New Roman;serif" w:hAnsi="Times New Roman;serif"/>
          <w:b w:val="false"/>
          <w:color w:val="000000"/>
          <w:sz w:val="24"/>
          <w:u w:val="single"/>
        </w:rPr>
        <w:t>CUSIP Numbers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The Company in issuing the Securities may use “CUSIP” numbers (if then generally in use), and, if so, the Trustee shall use “CUSIP” numbers in notices of redemption as a convenience to Holders;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change that the Company is aware of in the CUSIP numbers.</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61"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3.1    </w:t>
      </w:r>
      <w:r>
        <w:rPr>
          <w:rFonts w:ascii="Times New Roman;serif" w:hAnsi="Times New Roman;serif"/>
          <w:b w:val="false"/>
          <w:color w:val="000000"/>
          <w:sz w:val="24"/>
          <w:u w:val="single"/>
        </w:rPr>
        <w:t>Notice to Trustee</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5 days before the notice is delivered to the Holders, unless a shorter period is satisfactory to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3.2    </w:t>
      </w:r>
      <w:r>
        <w:rPr>
          <w:rFonts w:ascii="Times New Roman;serif" w:hAnsi="Times New Roman;serif"/>
          <w:b w:val="false"/>
          <w:color w:val="000000"/>
          <w:sz w:val="24"/>
          <w:u w:val="single"/>
        </w:rPr>
        <w:t>Selection of Securities to be Redeemed</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3.3    </w:t>
      </w:r>
      <w:r>
        <w:rPr>
          <w:rFonts w:ascii="Times New Roman;serif" w:hAnsi="Times New Roman;serif"/>
          <w:b w:val="false"/>
          <w:color w:val="000000"/>
          <w:sz w:val="24"/>
          <w:u w:val="single"/>
        </w:rPr>
        <w:t>Notice of Redemption</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62"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notice shall identify the Securities of the Series to be redeemed and shall state: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redemption date;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redemption price (or manner of calculation if not then known);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name and address of the Paying Agent;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that Securities of the Series called for redemption must be surrendered to the Paying Agent to collect the redemption price;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that interest on Securities of the Series called for redemption ceases to accrue on and after the redemption date unless the Company defaults in the deposit of the redemption price;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CUSIP number, if any;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any other information as may be required by the terms of the particular Series or the Securities of a Series being redeemed.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At the Company’s request, the Trustee shall give the notice of redemption in the Company’s name and at its expense, provided, however, that the Company has delivered to the Trustee, at least 5 days (unless a shorter time shall be acceptable to the Trustee) prior to the notice date, an Officer’s Certificate requesting that the Trustee give such notice and setting forth the information to be stated in such notice.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3.4    </w:t>
      </w:r>
      <w:r>
        <w:rPr>
          <w:rFonts w:ascii="Times New Roman;serif" w:hAnsi="Times New Roman;serif"/>
          <w:b w:val="false"/>
          <w:color w:val="000000"/>
          <w:sz w:val="24"/>
          <w:u w:val="single"/>
        </w:rPr>
        <w:t>Effect of Notice of Redemption</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3.5    </w:t>
      </w:r>
      <w:r>
        <w:rPr>
          <w:rFonts w:ascii="Times New Roman;serif" w:hAnsi="Times New Roman;serif"/>
          <w:b w:val="false"/>
          <w:color w:val="000000"/>
          <w:sz w:val="24"/>
          <w:u w:val="single"/>
        </w:rPr>
        <w:t>Deposit of Redemption Price</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On or before 11:00 a.m., New York City time, on the redemption date, the Company shall irrevocably deposit with the Paying Agent money sufficient (as determined by the Company) to pay the redemption price of and accrued interest, if any, on all Securities to be redeemed on that date.</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63"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3.6    </w:t>
      </w:r>
      <w:r>
        <w:rPr>
          <w:rFonts w:ascii="Times New Roman;serif" w:hAnsi="Times New Roman;serif"/>
          <w:b w:val="false"/>
          <w:color w:val="000000"/>
          <w:sz w:val="24"/>
          <w:u w:val="single"/>
        </w:rPr>
        <w:t>Securities Redeemed in Part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COVENANTS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4.1    </w:t>
      </w:r>
      <w:r>
        <w:rPr>
          <w:rFonts w:ascii="Times New Roman;serif" w:hAnsi="Times New Roman;serif"/>
          <w:b w:val="false"/>
          <w:color w:val="000000"/>
          <w:sz w:val="24"/>
          <w:u w:val="single"/>
        </w:rPr>
        <w:t>Payment of Principal and Interest</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4.2    </w:t>
      </w:r>
      <w:r>
        <w:rPr>
          <w:rFonts w:ascii="Times New Roman;serif" w:hAnsi="Times New Roman;serif"/>
          <w:b w:val="false"/>
          <w:color w:val="000000"/>
          <w:sz w:val="24"/>
          <w:u w:val="single"/>
        </w:rPr>
        <w:t>SEC Reports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(or any successor system thereto) will be deemed to be delivered to the Trustee as of the time of such filing via EDGAR for purposes of this Section 4.2, it being understood that the Trustee shall have no responsibility whatsoever to determine if such filings have been made, and that the Trustee shall not be deemed to have knowledge of the information contained therein.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4.3    </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64"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4.4    </w:t>
      </w:r>
      <w:r>
        <w:rPr>
          <w:rFonts w:ascii="Times New Roman;serif" w:hAnsi="Times New Roman;serif"/>
          <w:b w:val="false"/>
          <w:color w:val="000000"/>
          <w:sz w:val="24"/>
          <w:u w:val="single"/>
        </w:rPr>
        <w:t>Stay, Extension and Usury Laws</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SUCCESSORS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5.1    </w:t>
      </w:r>
      <w:r>
        <w:rPr>
          <w:rFonts w:ascii="Times New Roman;serif" w:hAnsi="Times New Roman;serif"/>
          <w:b w:val="false"/>
          <w:color w:val="000000"/>
          <w:sz w:val="24"/>
          <w:u w:val="single"/>
        </w:rPr>
        <w:t>When Company May Merge, Etc</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The Company shall not consolidate with or merge with or into, or convey, transfer or lease all or substantially all of its properties and assets to, any person (a “</w:t>
      </w:r>
      <w:r>
        <w:rPr>
          <w:rFonts w:ascii="Times New Roman;serif" w:hAnsi="Times New Roman;serif"/>
          <w:b w:val="false"/>
          <w:i/>
          <w:color w:val="000000"/>
          <w:sz w:val="24"/>
        </w:rPr>
        <w:t>successor person</w:t>
      </w:r>
      <w:r>
        <w:rPr>
          <w:color w:val="000000"/>
        </w:rPr>
        <w:t>”</w:t>
      </w:r>
      <w:r>
        <w:rPr>
          <w:rFonts w:ascii="Times New Roman;serif" w:hAnsi="Times New Roman;serif"/>
          <w:b w:val="false"/>
          <w:color w:val="000000"/>
          <w:sz w:val="24"/>
        </w:rPr>
        <w:t>) unless: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Company is the surviving corporation or the successor person (if other than the Company) is a corporation organized and validly existing under the laws of any U.S. domestic jurisdiction and expressly assumes, by a supplemental indenture, executed and delivered to the Trustee, the Company’s obligations on the Securities and under this Indenture;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immediately after giving effect to the transaction, no Default or Event of Default, shall have occurred and be continuing.</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Where the Company is not the surviving corporation, 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65"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5.2    </w:t>
      </w:r>
      <w:r>
        <w:rPr>
          <w:rFonts w:ascii="Times New Roman;serif" w:hAnsi="Times New Roman;serif"/>
          <w:b w:val="false"/>
          <w:color w:val="000000"/>
          <w:sz w:val="24"/>
          <w:u w:val="single"/>
        </w:rPr>
        <w:t>Successor Corporation Substituted</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predecessor Company in the case of a sale, conveyance or other disposition (other than a lease) shall be released from all obligations and covenants under this Indenture and the Securities.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DEFAULTS AND REMEDIES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pPr>
      <w:r>
        <w:rPr>
          <w:color w:val="000000"/>
        </w:rPr>
        <w:t>“</w:t>
      </w:r>
      <w:r>
        <w:rPr>
          <w:rFonts w:ascii="Times New Roman;serif" w:hAnsi="Times New Roman;serif"/>
          <w:b w:val="false"/>
          <w:i/>
          <w:color w:val="000000"/>
          <w:sz w:val="24"/>
        </w:rPr>
        <w:t>Event of Default</w:t>
      </w:r>
      <w:r>
        <w:rPr>
          <w:rFonts w:ascii="Times New Roman;serif" w:hAnsi="Times New Roman;serif"/>
          <w:b w:val="false"/>
          <w:color w:val="000000"/>
          <w:sz w:val="24"/>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of such period);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default in the payment of principal of any Security of that Series at its Maturity;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Company pursuant to or within the meaning of any Bankruptcy Law:</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    commences a voluntary case,</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    consents to the entry of an order for relief against it in an involuntary case,</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66"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(iii)    consents to the appointment of a Custodian of it or for all or substantially all of its property,</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(iv)    makes a general assignment for the benefit of its creditors, or</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(v)    generally is unable to pay its debts as the same become due;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a court of competent jurisdiction enters an order or decree under any Bankruptcy Law that:</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    is for relief against the Company in an involuntary case,</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    appoints a Custodian of the Company or for all or substantially all of its property, or</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(iii)    orders the liquidation of the Company, and the order or decree remains unstayed and in effect for 60 days;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any other Event of Default provided with respect to Securities of that Series, which is specified in a Board Resolution, a supplemental indenture hereto or an Officer’s Certificate, in accordance with Section 2.2.18.</w:t>
      </w:r>
    </w:p>
    <w:p>
      <w:pPr>
        <w:pStyle w:val="TextBody"/>
        <w:bidi w:val="0"/>
        <w:spacing w:lineRule="auto" w:line="288" w:before="0" w:after="240"/>
        <w:ind w:left="0" w:right="0" w:firstLine="979"/>
        <w:jc w:val="left"/>
        <w:rPr/>
      </w:pPr>
      <w:r>
        <w:rPr>
          <w:rFonts w:ascii="Times New Roman;serif" w:hAnsi="Times New Roman;serif"/>
          <w:b w:val="false"/>
          <w:color w:val="000000"/>
          <w:sz w:val="24"/>
        </w:rPr>
        <w:t>The term “</w:t>
      </w:r>
      <w:r>
        <w:rPr>
          <w:rFonts w:ascii="Times New Roman;serif" w:hAnsi="Times New Roman;serif"/>
          <w:b w:val="false"/>
          <w:i/>
          <w:color w:val="000000"/>
          <w:sz w:val="24"/>
        </w:rPr>
        <w:t>Bankruptcy Law</w:t>
      </w:r>
      <w:r>
        <w:rPr>
          <w:color w:val="000000"/>
        </w:rPr>
        <w:t xml:space="preserve">” </w:t>
      </w:r>
      <w:r>
        <w:rPr>
          <w:rFonts w:ascii="Times New Roman;serif" w:hAnsi="Times New Roman;serif"/>
          <w:b w:val="false"/>
          <w:color w:val="000000"/>
          <w:sz w:val="24"/>
        </w:rPr>
        <w:t>means title 11, U.S. Code or any similar U.S. Federal or State law for the relief of debtors. The term “</w:t>
      </w:r>
      <w:r>
        <w:rPr>
          <w:rFonts w:ascii="Times New Roman;serif" w:hAnsi="Times New Roman;serif"/>
          <w:b w:val="false"/>
          <w:i/>
          <w:color w:val="000000"/>
          <w:sz w:val="24"/>
        </w:rPr>
        <w:t>Custodian</w:t>
      </w:r>
      <w:r>
        <w:rPr>
          <w:color w:val="000000"/>
        </w:rPr>
        <w:t xml:space="preserve">” </w:t>
      </w:r>
      <w:r>
        <w:rPr>
          <w:rFonts w:ascii="Times New Roman;serif" w:hAnsi="Times New Roman;serif"/>
          <w:b w:val="false"/>
          <w:color w:val="000000"/>
          <w:sz w:val="24"/>
        </w:rPr>
        <w:t>means any receiver, trustee, assignee, liquidator or similar official under any Bankruptcy Law.</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6.2    </w:t>
      </w:r>
      <w:r>
        <w:rPr>
          <w:rFonts w:ascii="Times New Roman;serif" w:hAnsi="Times New Roman;serif"/>
          <w:b w:val="false"/>
          <w:color w:val="000000"/>
          <w:sz w:val="24"/>
          <w:u w:val="single"/>
        </w:rPr>
        <w:t>Acceleration of Maturity; Rescission and Annulment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w:t>
      </w:r>
      <w:r>
        <w:rPr>
          <w:rFonts w:ascii="Times New Roman;serif" w:hAnsi="Times New Roman;serif"/>
          <w:b w:val="false"/>
          <w:i/>
          <w:color w:val="000000"/>
          <w:sz w:val="24"/>
        </w:rPr>
        <w:t>ipso facto</w:t>
      </w:r>
      <w:r>
        <w:rPr>
          <w:color w:val="000000"/>
        </w:rPr>
        <w:t xml:space="preserve"> </w:t>
      </w:r>
      <w:r>
        <w:rPr>
          <w:rFonts w:ascii="Times New Roman;serif" w:hAnsi="Times New Roman;serif"/>
          <w:b w:val="false"/>
          <w:color w:val="000000"/>
          <w:sz w:val="24"/>
        </w:rPr>
        <w:t>become and be immediately due and payable without any declaration or other act on the part of the Trustee or any Holder.</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67"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 such rescission shall affect any subsequent Default or impair any right consequent thereon.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6.3    </w:t>
      </w:r>
      <w:r>
        <w:rPr>
          <w:rFonts w:ascii="Times New Roman;serif" w:hAnsi="Times New Roman;serif"/>
          <w:b w:val="false"/>
          <w:color w:val="000000"/>
          <w:sz w:val="24"/>
          <w:u w:val="single"/>
        </w:rPr>
        <w:t>Collection of Indebtedness and Suits for Enforcement by Trustee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covenants that if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default is made in the payment of any interest on any Security when such interest becomes due and payable and such default continues for a period of 30 days,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default is made in the payment of principal of any Security at the Maturity thereof,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default is made in the deposit of any sinking fund payment, if any, when and as due by the terms of a Security,</w:t>
      </w:r>
    </w:p>
    <w:p>
      <w:pPr>
        <w:pStyle w:val="TextBody"/>
        <w:bidi w:val="0"/>
        <w:spacing w:lineRule="auto" w:line="288" w:before="0" w:after="240"/>
        <w:jc w:val="left"/>
        <w:rPr/>
      </w:pPr>
      <w:r>
        <w:rPr>
          <w:rFonts w:ascii="Times New Roman;serif" w:hAnsi="Times New Roman;serif"/>
          <w:b w:val="false"/>
          <w:i/>
          <w:color w:val="000000"/>
          <w:sz w:val="24"/>
        </w:rPr>
        <w:t>then</w:t>
      </w:r>
      <w:r>
        <w:rPr>
          <w:rFonts w:ascii="Times New Roman;serif" w:hAnsi="Times New Roman;serif"/>
          <w:b w:val="false"/>
          <w:color w:val="000000"/>
          <w:sz w:val="24"/>
        </w:rPr>
        <w:t>, the Company will, upon demand of the Trustee, pay to it, for the benefit of the Holders of such Securities, the whole amount then due and payable on 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68"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6.4    </w:t>
      </w:r>
      <w:r>
        <w:rPr>
          <w:rFonts w:ascii="Times New Roman;serif" w:hAnsi="Times New Roman;serif"/>
          <w:b w:val="false"/>
          <w:color w:val="000000"/>
          <w:sz w:val="24"/>
          <w:u w:val="single"/>
        </w:rPr>
        <w:t>Trustee May File Proofs of Claim</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6.5    </w:t>
      </w:r>
      <w:r>
        <w:rPr>
          <w:rFonts w:ascii="Times New Roman;serif" w:hAnsi="Times New Roman;serif"/>
          <w:b w:val="false"/>
          <w:color w:val="000000"/>
          <w:sz w:val="24"/>
          <w:u w:val="single"/>
        </w:rPr>
        <w:t>Trustee May Enforce Claims Without Possession of Securities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6.6    </w:t>
      </w:r>
      <w:r>
        <w:rPr>
          <w:rFonts w:ascii="Times New Roman;serif" w:hAnsi="Times New Roman;serif"/>
          <w:b w:val="false"/>
          <w:color w:val="000000"/>
          <w:sz w:val="24"/>
          <w:u w:val="single"/>
        </w:rPr>
        <w:t>Application of Money Collected</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Any money or property collected by the Trustee pursuant to this Article shall be applied in the following order, at the date or dates fixed by the Trustee and, in case of the distribution of such money or property on account of principal or interest, upon presentation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69"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Securities and the notation thereon of the payment if only partially paid and upon surrender thereof if fully paid: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First: To the payment of all amounts due the Trustee under Section 7.7; and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Third: To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6.7    </w:t>
      </w:r>
      <w:r>
        <w:rPr>
          <w:rFonts w:ascii="Times New Roman;serif" w:hAnsi="Times New Roman;serif"/>
          <w:b w:val="false"/>
          <w:color w:val="000000"/>
          <w:sz w:val="24"/>
          <w:u w:val="single"/>
        </w:rPr>
        <w:t>Limitation on Suits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 Holder of any Security of any Series shall have any right to institute any proceeding, judicial or otherwise, with respect to this Indenture, or for the appointment of a receiver or trustee, or for any other remedy hereunder, unless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such Holder has previously given written notice to the Trustee of a continuing Event of Default with respect to the Securities of that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Holders of not less than 25% in principal amount of the outstanding Securities of that Series shall have made written request to the Trustee to institute proceedings in respect of such Event of Default in its own name as Trustee hereunder;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such Holder or Holders have offered to the Trustee indemnity or security satisfactory to the Trustee against the costs, expenses and liabilities which might be incurred by the Trustee in compliance with such request;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Trustee for 60 days after its receipt of such notice, request and offer of indemnity has failed to institute any such proceeding;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no direction inconsistent with such written request has been given to the Trustee during such 60-day period by the Holders of a majority in principal amount of the outstanding Securities of that Series;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70"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6.8    </w:t>
      </w:r>
      <w:r>
        <w:rPr>
          <w:rFonts w:ascii="Times New Roman;serif" w:hAnsi="Times New Roman;serif"/>
          <w:b w:val="false"/>
          <w:color w:val="000000"/>
          <w:sz w:val="24"/>
          <w:u w:val="single"/>
        </w:rPr>
        <w:t>Unconditional Right of Holders to Receive Principal and Interest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6.9    </w:t>
      </w:r>
      <w:r>
        <w:rPr>
          <w:rFonts w:ascii="Times New Roman;serif" w:hAnsi="Times New Roman;serif"/>
          <w:b w:val="false"/>
          <w:color w:val="000000"/>
          <w:sz w:val="24"/>
          <w:u w:val="single"/>
        </w:rPr>
        <w:t>Restoration of Rights and Remedies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6.10    </w:t>
      </w:r>
      <w:r>
        <w:rPr>
          <w:rFonts w:ascii="Times New Roman;serif" w:hAnsi="Times New Roman;serif"/>
          <w:b w:val="false"/>
          <w:color w:val="000000"/>
          <w:sz w:val="24"/>
          <w:u w:val="single"/>
        </w:rPr>
        <w:t>Rights and Remedies Cumulative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6.11    </w:t>
      </w:r>
      <w:r>
        <w:rPr>
          <w:rFonts w:ascii="Times New Roman;serif" w:hAnsi="Times New Roman;serif"/>
          <w:b w:val="false"/>
          <w:color w:val="000000"/>
          <w:sz w:val="24"/>
          <w:u w:val="single"/>
        </w:rPr>
        <w:t>Delay or Omission Not Waiver</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6.12    </w:t>
      </w:r>
      <w:r>
        <w:rPr>
          <w:rFonts w:ascii="Times New Roman;serif" w:hAnsi="Times New Roman;serif"/>
          <w:b w:val="false"/>
          <w:color w:val="000000"/>
          <w:sz w:val="24"/>
          <w:u w:val="single"/>
        </w:rPr>
        <w:t>Control by Holders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Holders of a majority in principal amount of the outstanding Securities of any Series shall have the right to direct the time, method and place of conducting any proceeding for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71"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remedy available to the Trustee, or exercising any trust or power conferred on the Trustee, with respect to the Securities of such Series, provided that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such direction shall not be in conflict with any rule of law or with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Trustee may take any other action deemed proper by the Trustee which is not inconsistent with such direction,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prior to taking any action as directed under this Section 6.12, the Trustee shall be entitled to indemnity satisfactory to it against the losses, costs, expenses and liabilities which might be incurred by it in compliance with such request or direction.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6.13    </w:t>
      </w:r>
      <w:r>
        <w:rPr>
          <w:rFonts w:ascii="Times New Roman;serif" w:hAnsi="Times New Roman;serif"/>
          <w:b w:val="false"/>
          <w:color w:val="000000"/>
          <w:sz w:val="24"/>
          <w:u w:val="single"/>
        </w:rPr>
        <w:t>Waiver of Past Defaults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6.14    </w:t>
      </w:r>
      <w:r>
        <w:rPr>
          <w:rFonts w:ascii="Times New Roman;serif" w:hAnsi="Times New Roman;serif"/>
          <w:b w:val="false"/>
          <w:color w:val="000000"/>
          <w:sz w:val="24"/>
          <w:u w:val="single"/>
        </w:rPr>
        <w:t>Undertaking for Costs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72"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TRUSTEE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7.1    </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Except during the continuance of an Event of Default:</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    The Trustee need perform only those duties that are specifically set forth in this Indenture and no others, and no implied covenants or obligations shall be read into this Indenture against the Trustee.</w:t>
      </w:r>
    </w:p>
    <w:p>
      <w:pPr>
        <w:pStyle w:val="TextBody"/>
        <w:bidi w:val="0"/>
        <w:spacing w:lineRule="auto" w:line="288" w:before="0" w:after="240"/>
        <w:ind w:left="0" w:right="0" w:firstLine="2520"/>
        <w:jc w:val="left"/>
        <w:rPr/>
      </w:pPr>
      <w:r>
        <w:rPr>
          <w:rFonts w:ascii="Times New Roman;serif" w:hAnsi="Times New Roman;serif"/>
          <w:b w:val="false"/>
          <w:color w:val="000000"/>
          <w:sz w:val="24"/>
        </w:rPr>
        <w:t xml:space="preserve">(ii)    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Times New Roman;serif" w:hAnsi="Times New Roman;serif"/>
          <w:b w:val="false"/>
          <w:color w:val="000000"/>
          <w:sz w:val="24"/>
          <w:u w:val="single"/>
        </w:rPr>
        <w:t>however</w:t>
      </w:r>
      <w:r>
        <w:rPr>
          <w:rFonts w:ascii="Times New Roman;serif" w:hAnsi="Times New Roman;serif"/>
          <w:b w:val="false"/>
          <w:color w:val="000000"/>
          <w:sz w:val="24"/>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 (but need not confirm or investigate the accuracy of mathematical calculations or other facts stated therein).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Trustee may not be relieved from liability for its own negligent action, its own negligent failure to act or its own willful misconduct, except that:</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    This paragraph does not limit the effect of paragraph (b) of this Section.</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    The Trustee shall not be liable for any error of judgment made in good faith by a Responsible Officer, unless it is proved in a court of competent jurisdiction that the Trustee was negligent in ascertaining the pertinent facts.</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(iii)    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Every provision of this Indenture that in any way relates to the Trustee is subject to paragraph (a), (b) and (c) of this Section.</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73"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Trustee may refuse to perform any duty or exercise any right or power unless it receives indemnity satisfactory to it against the losses, costs, expenses and liabilities which might be incurred by it in performing such duty or exercising such right or power.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The Trustee shall not be liable for interest or investment on any money received by it except as the Trustee may agree in writing with the Company. Money held in trust by the Trustee need not be segregated from other funds except to the extent required by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No provision of this Indenture shall require the Trustee to expend or risk its own funds or otherwise incur any financial liability in the performance of any of its duties, or in the exercise of any of its rights or powers.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The Paying Agent, the Registrar and any authenticating agent shall be entitled to the protections and immunities as are set forth in paragraphs (e), (f) and (g) of this Section and in Section 7.2, each with respect to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7.2    </w:t>
      </w:r>
      <w:r>
        <w:rPr>
          <w:rFonts w:ascii="Times New Roman;serif" w:hAnsi="Times New Roman;serif"/>
          <w:b w:val="false"/>
          <w:color w:val="000000"/>
          <w:sz w:val="24"/>
          <w:u w:val="single"/>
        </w:rPr>
        <w:t>Rights of Trustee</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Trustee may conclusively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Trustee may act through its attorneys and agents and shall not be responsible for the misconduct or negligence of any attorney or agent appointed with due care. No Depositary shall be deemed an agent of the Trustee and the Trustee shall not be responsible for any act or omission by any Depositary.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Trustee shall not be liable for any action it takes or omits to take in good faith which it believes to be authorized or within its rights or powers, provided that the Trustee’s conduct does not constitute willful misconduct or negligence.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    The Trustee shall be under no obligation to exercise any of the rights or powers vested in it by this Indenture at the request or direction of any of the Holders of Securities unless such Holders shall have offered (and, if requested, provided) to the Trustee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74"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security or indemnity satisfactory to it against the losses, costs, expenses and liabilities which might be incurred by it in compliance with such request or direction.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Securities generally or the Securities of a particular Series and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In no event shall the Trustee be responsible or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(j)    The permissive right of the Trustee to take the actions permitted by this Indenture shall not be construed as an obligation or duty to do so.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(k)    No bond or surety shall be required with respect to performance of Trustee’s duties and powers.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(l)    Under no circumstances shall the Trustee be liable in its individual capacity for the obligations evidenced by the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(m)    Any request or direction of the Company mentioned herein shall be sufficiently evidenced by a Company Order and any resolution of the Board of Directors may be sufficiently evidenced by a Board Resolution.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    The Trustee may request that the Company deliver a certificate setting forth the names of individuals and/or titles of officers authorized at such time to take specified actions pursuant to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7.3    </w:t>
      </w:r>
      <w:r>
        <w:rPr>
          <w:rFonts w:ascii="Times New Roman;serif" w:hAnsi="Times New Roman;serif"/>
          <w:b w:val="false"/>
          <w:color w:val="000000"/>
          <w:sz w:val="24"/>
          <w:u w:val="single"/>
        </w:rPr>
        <w:t>Individual Rights of Trustee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in its individual or any other capacity may become the owner or pledgee of Securities and may otherwise deal with the Company or an Affiliate of the Company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75"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same rights it would have if it were not Trustee. Any Agent may do the same with like rights. The Trustee is also subject to Sections 7.10 and 7.11.</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7.4    </w:t>
      </w:r>
      <w:r>
        <w:rPr>
          <w:rFonts w:ascii="Times New Roman;serif" w:hAnsi="Times New Roman;serif"/>
          <w:b w:val="false"/>
          <w:color w:val="000000"/>
          <w:sz w:val="24"/>
          <w:u w:val="single"/>
        </w:rPr>
        <w:t>Trustee’s Disclaimer</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shall not be responsible for and makes no representation as to the validity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any Paying Agent other than the Trustee, and it shall not be responsible for any statement herein or in the Securities or any other document in connection with the sale of the Securities other than its authentication. The recitals contained herein and in the Securities, except the Trustee’s certificates of authentication, shall be taken as the statements of the Company, and the Trustee or any Authenticating Agent assumes no responsibility for their correctness.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7.5    </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 Default or Event of Default occurs and is continuing with respect to the Securities of any Series and if it is actually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 in good faith determines that withholding the notice is in the interests of Securityholders of that Series.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7.6    </w:t>
      </w:r>
      <w:r>
        <w:rPr>
          <w:rFonts w:ascii="Times New Roman;serif" w:hAnsi="Times New Roman;serif"/>
          <w:b w:val="false"/>
          <w:color w:val="000000"/>
          <w:sz w:val="24"/>
          <w:u w:val="single"/>
        </w:rPr>
        <w:t>Reports by Trustee to Holders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Within 60 days after each                    of each year commencing with the first following the first issuance of Securities pursuant to Section 1.1, the Trustee shall transmit by mail to all Securityholders, as their names and addresses appear on the register kept by the Registrar, a brief report dated as of such anniversary date, in accordance with, and to the extent required under, TIA § 313.</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 copy of each report at the time of its sending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 or delisted from any national securities exchange.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7.7    </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shall pay to the Trustee from time to time compensation for its services as the Company and the Trustee shall from time to time agree upon in writing. The Trustee’s compensation shall not be limited by any law on compensation of a trustee of an express trust.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76"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shall reimburse the Trustee upon request for all reasonable out of pocket expenses incurred by it. Such expenses shall include the reasonable compensation and expenses of the Trustee’s agents and counsel.</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shall indemnify each of the Trustee and any predecessor Trustee (including for the cost of defending itself) against any cost, damages, losses, expense or liability, including taxes (other than taxes based upon, measured by or determined by the income of the Trustee) incurred by it except as set forth in the next paragraph in the performance of its duties under this Indenture or in connection with its acceptance of its obligations hereunder,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need not reimburse any expense or indemnify against any loss or liability incurred by the Trustee or by any officer, director, employee, shareholder or agent of the Trustee through willful misconduct or negligence, as finally adjudicated by a court of competent jurisdiction.</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When the Trustee incurs expenses or renders services after an Event of Default specified in Section 6.1(d) or (e) occurs, the expenses and the compensation for the services are intended to constitute expenses of administration under any Bankruptcy Law.</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provisions of this Section shall survive the termination of this Indenture or the resignation or removal of the Trustee.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7.8    </w:t>
      </w:r>
      <w:r>
        <w:rPr>
          <w:rFonts w:ascii="Times New Roman;serif" w:hAnsi="Times New Roman;serif"/>
          <w:b w:val="false"/>
          <w:color w:val="000000"/>
          <w:sz w:val="24"/>
          <w:u w:val="single"/>
        </w:rPr>
        <w:t>Replacement of Trustee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 resignation or removal of the Trustee and appointment of a successor Trustee shall become effective only upon the successor Trustee’s acceptance of appointment as provided in this Section.</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in writing at least 30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77"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days prior to such removal. The Company may remove the Trustee with respect to Securities of one or more Series with at least 30 days written notice if: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Trustee fails to comply with Section 7.10;</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Trustee is adjudged a bankrupt or an insolvent or an order for relief is entered with respect to the Trustee under any Bankruptcy Law;</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a Custodian or public officer takes charge of the Trustee or its property;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Trustee becomes incapable of acting.</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Trustee resigns or is removed or if a vacancy exists in the office of Trustee for any reason, the Company shall promptly appoint a successor Trustee. Within one year after the successor Trustee takes office, the Holders of a majority in principal amount of the then-outstanding Securities may appoint a successor Trustee to replace the successor Trustee appointed by the Company.</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 successor Trustee shall deliver a written acceptance of its appointment to the retiring Trustee and to the Company. Promptly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send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7.9    </w:t>
      </w:r>
      <w:r>
        <w:rPr>
          <w:rFonts w:ascii="Times New Roman;serif" w:hAnsi="Times New Roman;serif"/>
          <w:b w:val="false"/>
          <w:color w:val="000000"/>
          <w:sz w:val="24"/>
          <w:u w:val="single"/>
        </w:rPr>
        <w:t>Successor Trustee by Merger, Etc</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Trustee consolidates with,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7.10    </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This Indenture shall always have a Trustee who satisfies the requirements of TIA § 310(a)(1), (2) and (5). The Trustee shall always have a combined capital and surplus of at least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78"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$50,000,000 as set forth in its most recent published annual report of condition. The Trustee shall comply with TIA § 310(b).</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7.11    </w:t>
      </w:r>
      <w:r>
        <w:rPr>
          <w:rFonts w:ascii="Times New Roman;serif" w:hAnsi="Times New Roman;serif"/>
          <w:b w:val="false"/>
          <w:color w:val="000000"/>
          <w:sz w:val="24"/>
          <w:u w:val="single"/>
        </w:rPr>
        <w:t>Preferential Collection of Claims Against Company</w:t>
      </w:r>
      <w:r>
        <w:rPr>
          <w:rFonts w:ascii="Times New Roman;serif" w:hAnsi="Times New Roman;serif"/>
          <w:b w:val="false"/>
          <w:color w:val="000000"/>
          <w:sz w:val="24"/>
        </w:rPr>
        <w:t>. </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is subject to TIA § 311(a), excluding any creditor relationship listed in TIA § 311(b). A Trustee who has resigned or been removed shall be subject to TIA § 311(a) to the extent indicated.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VIII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SATISFACTION AND DISCHARGE; DEFEASANCE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8.1    </w:t>
      </w:r>
      <w:r>
        <w:rPr>
          <w:rFonts w:ascii="Times New Roman;serif" w:hAnsi="Times New Roman;serif"/>
          <w:b w:val="false"/>
          <w:color w:val="000000"/>
          <w:sz w:val="24"/>
          <w:u w:val="single"/>
        </w:rPr>
        <w:t>Satisfaction and Discharge of Indenture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either</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    all Securities of such Series theretofore authenticated and delivered (other than Securities that have been destroyed, lost or stolen and that have been replaced or paid) have been delivered to the Trustee for cancellation; or</w:t>
      </w:r>
    </w:p>
    <w:p>
      <w:pPr>
        <w:pStyle w:val="TextBody"/>
        <w:bidi w:val="0"/>
        <w:spacing w:lineRule="auto" w:line="288" w:before="0" w:after="240"/>
        <w:ind w:left="0" w:right="0" w:firstLine="2520"/>
        <w:jc w:val="left"/>
        <w:rPr>
          <w:rFonts w:ascii="Times New Roman;serif" w:hAnsi="Times New Roman;serif"/>
          <w:b w:val="false"/>
          <w:color w:val="000000"/>
          <w:sz w:val="24"/>
        </w:rPr>
      </w:pPr>
      <w:r>
        <w:rPr>
          <w:rFonts w:ascii="Times New Roman;serif" w:hAnsi="Times New Roman;serif"/>
          <w:b w:val="false"/>
          <w:color w:val="000000"/>
          <w:sz w:val="24"/>
        </w:rPr>
        <w:t>(ii)    all such Securities of such Series not theretofore delivered to the Trustee for cancellation</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(1)    have become due and payable by reason of sending a notice of redemption or otherwise, or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(2)    will become due and payable at their Stated Maturity within one year, or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(3)    have been called for redemption or are to be called for redemption within one year under arrangements satisfactory to the Trustee for the giving of notice of redemption by the Trustee in the name, and at the expense, of the Company, or</w:t>
      </w:r>
    </w:p>
    <w:p>
      <w:pPr>
        <w:pStyle w:val="TextBody"/>
        <w:bidi w:val="0"/>
        <w:spacing w:lineRule="auto" w:line="288" w:before="0" w:after="240"/>
        <w:ind w:left="0" w:right="0" w:firstLine="2880"/>
        <w:jc w:val="left"/>
        <w:rPr>
          <w:rFonts w:ascii="Times New Roman;serif" w:hAnsi="Times New Roman;serif"/>
          <w:b w:val="false"/>
          <w:color w:val="000000"/>
          <w:sz w:val="24"/>
        </w:rPr>
      </w:pPr>
      <w:r>
        <w:rPr>
          <w:rFonts w:ascii="Times New Roman;serif" w:hAnsi="Times New Roman;serif"/>
          <w:b w:val="false"/>
          <w:color w:val="000000"/>
          <w:sz w:val="24"/>
        </w:rPr>
        <w:t>(4)    are deemed paid and discharged pursuant to Section 8.3, as applicable;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and the Company, in the case of (1), (2) or (3) above, shall have irrevocably deposited or caused to be deposited with the Trustee as trust funds in trust an amount of money or U.S. Government Obligations, which amount shall be sufficient (as determined by the Company) for the purpose of paying and discharging each installment of principal (including mandatory sinking fund or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79"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analogous payments) of and interest on all the Securities of such Series on the dates such installments of principal or interest are due;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Company has paid or caused to be paid all other sums payable hereunder by the Company;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Company shall have delivered to the Trustee an Officer’s Certificate and an Opinion of Counsel, each stating that all conditions precedent provided for relating to the satisfaction and discharge contemplated by this Section have been complied with.</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8.2    </w:t>
      </w:r>
      <w:r>
        <w:rPr>
          <w:rFonts w:ascii="Times New Roman;serif" w:hAnsi="Times New Roman;serif"/>
          <w:b w:val="false"/>
          <w:color w:val="000000"/>
          <w:sz w:val="24"/>
          <w:u w:val="single"/>
        </w:rPr>
        <w:t>Application of Trust Funds; Indemnification</w:t>
      </w:r>
      <w:r>
        <w:rPr>
          <w:rFonts w:ascii="Times New Roman;serif" w:hAnsi="Times New Roman;serif"/>
          <w:b w:val="false"/>
          <w:color w:val="000000"/>
          <w:sz w:val="24"/>
        </w:rPr>
        <w: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80"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8.3    </w:t>
      </w:r>
      <w:r>
        <w:rPr>
          <w:rFonts w:ascii="Times New Roman;serif" w:hAnsi="Times New Roman;serif"/>
          <w:b w:val="false"/>
          <w:color w:val="000000"/>
          <w:sz w:val="24"/>
          <w:u w:val="single"/>
        </w:rPr>
        <w:t>Legal Defeasance of Securities of any Series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the provisions of Sections 2.4, 2.5, 2.7, 2.8, 7.7, 8.2, 8.3, 8.5 and 8.6;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the rights, powers, trusts and immunities of the Trustee hereunder and the Company’s obligations in connection therewith;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provided that, the following conditions shall have been satisfied: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no Default or Event of Default with respect to the Securities of such Series shall have occurred and be continuing on the date of such deposit or during the period ending on the 91st day after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81"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the Company shall have delivered to the Trustee an Officer’s Certificate stating that the deposit was not made by the Company with the intent of defeating, hindering, delaying or defrauding any other creditors of the Company;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the Company shall have delivered to the Trustee an Officer’s Certificate and an Opinion of Counsel, each stating that all conditions precedent provided for relating to the defeasance contemplated by this Section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8.4    </w:t>
      </w:r>
      <w:r>
        <w:rPr>
          <w:rFonts w:ascii="Times New Roman;serif" w:hAnsi="Times New Roman;serif"/>
          <w:b w:val="false"/>
          <w:color w:val="000000"/>
          <w:sz w:val="24"/>
          <w:u w:val="single"/>
        </w:rPr>
        <w:t>Covenant Defeasance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(a)    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82"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Trustee, to pay and discharge each installment of principal (including mandatory sinking fund or analogous payments) of and interest on all the Securities of such Series on the dates such installments of principal or interest are due;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such deposit will not result in a breach or violation of, or constitute a default under, this Indenture or any other agreement or instrument to which the Company is a party or by which it is bound;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no Default or Event of Default with respect to the Securities of such Series shall have occurred and be continuing on the date of such deposit;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subject to customary exclusions, that the Holders of the Securities of such Series will not recognize income, gain or loss for Federal income tax purposes as a result of such deposit, covenant defeasance and discharge and will be subject to Federal income tax on the same amount and in the same manner and at the same times as would have been the case if such deposit, covenant defeasance and discharge had not occurred;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The Company shall have delivered to the Trustee an Officer’s Certificate stating the deposit was not made by the Company with the intent of defeating, hindering, delaying or defrauding any other creditors of the Company;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The Company shall have delivered to the Trustee an Officer’s Certificate and an Opinion of Counsel, each stating that all conditions precedent herein provided for relating to the covenant defeasance contemplated by this Section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8.5    </w:t>
      </w:r>
      <w:r>
        <w:rPr>
          <w:rFonts w:ascii="Times New Roman;serif" w:hAnsi="Times New Roman;serif"/>
          <w:b w:val="false"/>
          <w:color w:val="000000"/>
          <w:sz w:val="24"/>
          <w:u w:val="single"/>
        </w:rPr>
        <w:t>Repayment to Company</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 and the Trustee shall have no further liability with respect to such money.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8.6    </w:t>
      </w:r>
      <w:r>
        <w:rPr>
          <w:rFonts w:ascii="Times New Roman;serif" w:hAnsi="Times New Roman;serif"/>
          <w:b w:val="false"/>
          <w:color w:val="000000"/>
          <w:sz w:val="24"/>
          <w:u w:val="single"/>
        </w:rPr>
        <w:t>Reinstatement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83"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 xml:space="preserve">revived and reinstated as though no deposit had occurred pursuant to Section 8.1 until such time as the Trustee or the Paying Agent is permitted to apply all such money in accordance with Section 8.1;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IX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AMENDMENTS AND WAIVERS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9.1    </w:t>
      </w:r>
      <w:r>
        <w:rPr>
          <w:rFonts w:ascii="Times New Roman;serif" w:hAnsi="Times New Roman;serif"/>
          <w:b w:val="false"/>
          <w:color w:val="000000"/>
          <w:sz w:val="24"/>
          <w:u w:val="single"/>
        </w:rPr>
        <w:t>Without Consent of Holders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and the Trustee may amend or supplement this Indenture or the Securities of one or more Series without the consent of any Securityholder: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to cure any ambiguity, defect or inconsistency as evidenced by an Officer Certificate;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to comply with Article V;</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to provide for uncertificated Securities in addition to or in place of certificated Securities;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to add guarantees with respect to Securities of any Series or secure Securities of any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to surrender any of the Company’s rights or powers under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to add covenants or events of default for the benefit of the holders of Securities of any Series;</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to comply with the applicable procedures of the applicable depositary;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to make any change that does not adversely affect the rights of any Securityholder;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    to provide for the issuance of and establish the form and terms and conditions of Securities of any Series as permitted by this Indenture;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(j)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(k)    to comply with requirements of the SEC in order to effect or maintain the qualification of this Indenture under the TIA;</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84"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(l)    to add to, change or eliminate any provision of this Indenture or the Securities of such Series in accordance with the TIA, or to comply with the provisions of DTC, Euroclear or Clearstream or the Trustee with respect to provisions of this Indenture or the Securities of such Series relating to transfers or exchanges of the Securities of such Series or beneficial interests in the Securities of such Series; 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    to conform any provision of this Indenture, in so far as it relates to the Securities of such Series, to the description of the Securities of such Series in the prospectus supplement relation to the offering of the Securities of such Series.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9.2    </w:t>
      </w:r>
      <w:r>
        <w:rPr>
          <w:rFonts w:ascii="Times New Roman;serif" w:hAnsi="Times New Roman;serif"/>
          <w:b w:val="false"/>
          <w:color w:val="000000"/>
          <w:sz w:val="24"/>
          <w:u w:val="single"/>
        </w:rPr>
        <w:t>With Consent of Holders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aggregate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9.3    </w:t>
      </w:r>
      <w:r>
        <w:rPr>
          <w:rFonts w:ascii="Times New Roman;serif" w:hAnsi="Times New Roman;serif"/>
          <w:b w:val="false"/>
          <w:color w:val="000000"/>
          <w:sz w:val="24"/>
          <w:u w:val="single"/>
        </w:rPr>
        <w:t>Limitations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Without the consent of each Securityholder affected, an amendment or waiver may not:</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reduce the principal amount of Securities whose Holders must consent to an amendment, supplement or waiver;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reduce the rate of or extend the time for payment of interest (including default interest) on any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reduce the principal or change the Stated Maturity of any Security or reduce the amount of, or postpone the date fixed for, the payment of any sinking fund or analogous obligation;</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85"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reduce the principal amount of Discount Securities payable upon acceleration of the maturity thereof;</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(e)    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    make the principal of or interest, if any, on any Security payable in any currency other than that stated in the Security;</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(g)    make any change in Sections 6.8, 6.13 or 9.3 (this sentence); or</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(h)    waive a redemption payment with respect to any Security, provided that such redemption is made at the Company’s option.</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9.4    </w:t>
      </w:r>
      <w:r>
        <w:rPr>
          <w:rFonts w:ascii="Times New Roman;serif" w:hAnsi="Times New Roman;serif"/>
          <w:b w:val="false"/>
          <w:color w:val="000000"/>
          <w:sz w:val="24"/>
          <w:u w:val="single"/>
        </w:rPr>
        <w:t>Compliance with Trust Indenture Act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Every amendment to this Indenture or the Securities of one or more Series shall be set forth in a supplemental indenture hereto that complies with the TIA as then in effect.</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9.5    </w:t>
      </w:r>
      <w:r>
        <w:rPr>
          <w:rFonts w:ascii="Times New Roman;serif" w:hAnsi="Times New Roman;serif"/>
          <w:b w:val="false"/>
          <w:color w:val="000000"/>
          <w:sz w:val="24"/>
          <w:u w:val="single"/>
        </w:rPr>
        <w:t>Revocation and Effect of Consents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86"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9.6    </w:t>
      </w:r>
      <w:r>
        <w:rPr>
          <w:rFonts w:ascii="Times New Roman;serif" w:hAnsi="Times New Roman;serif"/>
          <w:b w:val="false"/>
          <w:color w:val="000000"/>
          <w:sz w:val="24"/>
          <w:u w:val="single"/>
        </w:rPr>
        <w:t>Notation on or Exchange of Securities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9.7    </w:t>
      </w:r>
      <w:r>
        <w:rPr>
          <w:rFonts w:ascii="Times New Roman;serif" w:hAnsi="Times New Roman;serif"/>
          <w:b w:val="false"/>
          <w:color w:val="000000"/>
          <w:sz w:val="24"/>
          <w:u w:val="single"/>
        </w:rPr>
        <w:t>Trustee Protected</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and stating that the supplemental indenture is authorized or permitted by this Indenture and constitutes a legal valid and binding obligation of the Company, enforceable against it in accordance with its terms.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Trust Indenture Act Controls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any provision of this Indenture limits, qualifies, or conflicts with another provision which is required or deemed to be included in this Indenture by the TIA, such required or deemed provision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Company: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5340 Kietzke Lane, Suite 202</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Reno, Nevada 89511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Attention: Chief Legal Officer &amp; General Counsel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Sidley Austin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1501 K Street, N.W.</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Washington, D.C. 20005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Sara M. von Althann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[__________]</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Company or the Trustee by notice to the other may designate additional or different addresses for subsequent notices or communications. Any notice or communication delivered to the Trustee shall be deemed effective upon actual receipt thereof.</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Any notice or communication to a Securityholder shall be sent electronically or by first-class mail to his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a notice or communication is sent or published in the manner provided above, within the time prescribed, it is duly given, whether or not the Securityholder receives it.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If the Company sends a notice or communication to Securityholders, it shall send a copy to the Trustee and each Agent at the same time.</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10.3    </w:t>
      </w:r>
      <w:r>
        <w:rPr>
          <w:rFonts w:ascii="Times New Roman;serif" w:hAnsi="Times New Roman;serif"/>
          <w:b w:val="false"/>
          <w:color w:val="000000"/>
          <w:sz w:val="24"/>
          <w:u w:val="single"/>
        </w:rPr>
        <w:t>Communication by Holders with Other Holders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10.4    </w:t>
      </w:r>
      <w:r>
        <w:rPr>
          <w:rFonts w:ascii="Times New Roman;serif" w:hAnsi="Times New Roman;serif"/>
          <w:b w:val="false"/>
          <w:color w:val="000000"/>
          <w:sz w:val="24"/>
          <w:u w:val="single"/>
        </w:rPr>
        <w:t>Certificate and Opinion as to Conditions Precedent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Upon any request or application by the Company to the Trustee to take any action under this Indenture, the Company shall furnish to the Trustee: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an Officer’s Certificate stating that, in the opinion of the signers, all conditions precedent, if any, provided for in this Indenture relating to the proposed action have been complied with;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an Opinion of Counsel stating that, in the opinion of such counsel, all such conditions precedent have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10.5    </w:t>
      </w:r>
      <w:r>
        <w:rPr>
          <w:rFonts w:ascii="Times New Roman;serif" w:hAnsi="Times New Roman;serif"/>
          <w:b w:val="false"/>
          <w:color w:val="000000"/>
          <w:sz w:val="24"/>
          <w:u w:val="single"/>
        </w:rPr>
        <w:t>Statements Required in Certificate or Opinion</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a statement that the person making such certificate or opinion has read such covenant or condition;</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    a brief statement as to the nature and scope of the examination or investigation upon which the statements or opinions contained in such certificate or opinion are based;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(c)    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lineRule="auto" w:line="288" w:before="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    a statement as to whether or not, in the opinion of such person, such condition or covenant has been complied with.</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10.6    </w:t>
      </w:r>
      <w:r>
        <w:rPr>
          <w:rFonts w:ascii="Times New Roman;serif" w:hAnsi="Times New Roman;serif"/>
          <w:b w:val="false"/>
          <w:color w:val="000000"/>
          <w:sz w:val="24"/>
          <w:u w:val="single"/>
        </w:rPr>
        <w:t>Rules by Trustee and Agents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 meeting of Securityholders of one or more Series. Any Agent may make reasonable rules and set reasonable requirements for its functions.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10.7    </w:t>
      </w:r>
      <w:r>
        <w:rPr>
          <w:rFonts w:ascii="Times New Roman;serif" w:hAnsi="Times New Roman;serif"/>
          <w:b w:val="false"/>
          <w:color w:val="000000"/>
          <w:sz w:val="24"/>
          <w:u w:val="single"/>
        </w:rPr>
        <w:t>Legal Holidays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pPr>
      <w:r>
        <w:rPr>
          <w:rFonts w:ascii="Times New Roman;serif" w:hAnsi="Times New Roman;serif"/>
          <w:b w:val="false"/>
          <w:color w:val="000000"/>
          <w:sz w:val="24"/>
        </w:rPr>
        <w:t>A “</w:t>
      </w:r>
      <w:r>
        <w:rPr>
          <w:rFonts w:ascii="Times New Roman;serif" w:hAnsi="Times New Roman;serif"/>
          <w:b w:val="false"/>
          <w:i/>
          <w:color w:val="000000"/>
          <w:sz w:val="24"/>
        </w:rPr>
        <w:t>Legal Holiday</w:t>
      </w:r>
      <w:r>
        <w:rPr>
          <w:color w:val="000000"/>
        </w:rPr>
        <w:t xml:space="preserve">” </w:t>
      </w:r>
      <w:r>
        <w:rPr>
          <w:rFonts w:ascii="Times New Roman;serif" w:hAnsi="Times New Roman;serif"/>
          <w:b w:val="false"/>
          <w:color w:val="000000"/>
          <w:sz w:val="24"/>
        </w:rPr>
        <w:t>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10.8    </w:t>
      </w:r>
      <w:r>
        <w:rPr>
          <w:rFonts w:ascii="Times New Roman;serif" w:hAnsi="Times New Roman;serif"/>
          <w:b w:val="false"/>
          <w:color w:val="000000"/>
          <w:sz w:val="24"/>
          <w:u w:val="single"/>
        </w:rPr>
        <w:t>No Recourse Against Others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10.9    </w:t>
      </w:r>
      <w:r>
        <w:rPr>
          <w:rFonts w:ascii="Times New Roman;serif" w:hAnsi="Times New Roman;serif"/>
          <w:b w:val="false"/>
          <w:color w:val="000000"/>
          <w:sz w:val="24"/>
          <w:u w:val="single"/>
        </w:rPr>
        <w:t>Counterparts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10.10    </w:t>
      </w:r>
      <w:r>
        <w:rPr>
          <w:rFonts w:ascii="Times New Roman;serif" w:hAnsi="Times New Roman;serif"/>
          <w:b w:val="false"/>
          <w:color w:val="000000"/>
          <w:sz w:val="24"/>
          <w:u w:val="single"/>
        </w:rPr>
        <w:t>Governing Law; Waiver of Jury Trial; Consent to Jurisdiction</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color w:val="000000"/>
          <w:sz w:val="24"/>
        </w:rPr>
      </w:pPr>
      <w:r>
        <w:rPr>
          <w:rFonts w:ascii="Times New Roman;serif" w:hAnsi="Times New Roman;serif"/>
          <w:b/>
          <w:color w:val="000000"/>
          <w:sz w:val="24"/>
        </w:rPr>
        <w:t>THIS INDENTURE AND THE SECURITIES, INCLUDING ANY CLAIM OR CONTROVERSY ARISING OUT OF OR RELATING TO THE INDENTURE OR THE SECURITIES, SHALL BE GOVERNED BY THE LAWS OF THE STATE OF NEW YORK. THE COMPANY, THE TRUSTEE AND THE HOLDERS (BY THEIR ACCEPTANCE OF THE SECURITIES) EACH HEREBY IRREVOCABLY WAIVE, TO THE FULLEST EXTENT PERMITTED BY APPLICABLE LAW, ANY AND ALL RIGHT TO TRIAL BY JURY IN ANY LEGAL PROCEEDING ARISING OUT OF OR RELATING TO THIS INDENTURE, THE SECURITIES OR THE TRANSACTIONS CONTEMPLATED HEREBY OR THEREBY.</w:t>
      </w:r>
    </w:p>
    <w:p>
      <w:pPr>
        <w:pStyle w:val="TextBody"/>
        <w:bidi w:val="0"/>
        <w:spacing w:lineRule="auto" w:line="288" w:before="0" w:after="240"/>
        <w:ind w:left="0" w:right="0" w:firstLine="979"/>
        <w:jc w:val="left"/>
        <w:rPr/>
      </w:pPr>
      <w:r>
        <w:rPr>
          <w:rFonts w:ascii="Times New Roman;serif" w:hAnsi="Times New Roman;serif"/>
          <w:b w:val="false"/>
          <w:color w:val="000000"/>
          <w:sz w:val="24"/>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Times New Roman;serif" w:hAnsi="Times New Roman;serif"/>
          <w:b w:val="false"/>
          <w:i/>
          <w:color w:val="000000"/>
          <w:sz w:val="24"/>
        </w:rPr>
        <w:t>Specified Courts</w:t>
      </w:r>
      <w:r>
        <w:rPr>
          <w:color w:val="000000"/>
        </w:rPr>
        <w:t>”</w:t>
      </w:r>
      <w:r>
        <w:rPr>
          <w:rFonts w:ascii="Times New Roman;serif" w:hAnsi="Times New Roman;serif"/>
          <w:b w:val="false"/>
          <w:color w:val="000000"/>
          <w:sz w:val="24"/>
        </w:rPr>
        <w:t>), and each party irrevocably submits to the nonexclusive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10.11    </w:t>
      </w:r>
      <w:r>
        <w:rPr>
          <w:rFonts w:ascii="Times New Roman;serif" w:hAnsi="Times New Roman;serif"/>
          <w:b w:val="false"/>
          <w:color w:val="000000"/>
          <w:sz w:val="24"/>
          <w:u w:val="single"/>
        </w:rPr>
        <w:t>No Adverse Interpretation of Other Agreements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10.12    </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All agreements of the Company in this Indenture and the Securities shall bind its successor. All agreements of the Trustee in this Indenture shall bind its successor.</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10.13    </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10.14    </w:t>
      </w:r>
      <w:r>
        <w:rPr>
          <w:rFonts w:ascii="Times New Roman;serif" w:hAnsi="Times New Roman;serif"/>
          <w:b w:val="false"/>
          <w:color w:val="000000"/>
          <w:sz w:val="24"/>
          <w:u w:val="single"/>
        </w:rPr>
        <w:t>Table of Contents, Headings, Etc</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10.15    </w:t>
      </w:r>
      <w:r>
        <w:rPr>
          <w:rFonts w:ascii="Times New Roman;serif" w:hAnsi="Times New Roman;serif"/>
          <w:b w:val="false"/>
          <w:color w:val="000000"/>
          <w:sz w:val="24"/>
          <w:u w:val="single"/>
        </w:rPr>
        <w:t>Securities in a Foreign Currency</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91"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All decisions and determinations provided for in the preceding paragraph shall, in the absence of manifest error, to the extent permitted by law, be conclusive for all purposes and irrevocably binding upon the Trustee and all Holders.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10.16    </w:t>
      </w:r>
      <w:r>
        <w:rPr>
          <w:rFonts w:ascii="Times New Roman;serif" w:hAnsi="Times New Roman;serif"/>
          <w:b w:val="false"/>
          <w:color w:val="000000"/>
          <w:sz w:val="24"/>
          <w:u w:val="single"/>
        </w:rPr>
        <w:t>Judgment Currency</w:t>
      </w:r>
      <w:r>
        <w:rPr>
          <w:rFonts w:ascii="Times New Roman;serif" w:hAnsi="Times New Roman;serif"/>
          <w:b w:val="false"/>
          <w:color w:val="000000"/>
          <w:sz w:val="24"/>
        </w:rPr>
        <w:t>.</w:t>
      </w:r>
    </w:p>
    <w:p>
      <w:pPr>
        <w:pStyle w:val="TextBody"/>
        <w:bidi w:val="0"/>
        <w:spacing w:lineRule="auto" w:line="288" w:before="0" w:after="240"/>
        <w:ind w:left="0" w:right="0" w:firstLine="979"/>
        <w:jc w:val="left"/>
        <w:rPr/>
      </w:pPr>
      <w:r>
        <w:rPr>
          <w:rFonts w:ascii="Times New Roman;serif" w:hAnsi="Times New Roman;serif"/>
          <w:b w:val="false"/>
          <w:color w:val="000000"/>
          <w:sz w:val="24"/>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Times New Roman;serif" w:hAnsi="Times New Roman;serif"/>
          <w:b w:val="false"/>
          <w:i/>
          <w:color w:val="000000"/>
          <w:sz w:val="24"/>
        </w:rPr>
        <w:t>Required Currency</w:t>
      </w:r>
      <w:r>
        <w:rPr>
          <w:color w:val="000000"/>
        </w:rPr>
        <w:t>”</w:t>
      </w:r>
      <w:r>
        <w:rPr>
          <w:rFonts w:ascii="Times New Roman;serif" w:hAnsi="Times New Roman;serif"/>
          <w:b w:val="false"/>
          <w:color w:val="000000"/>
          <w:sz w:val="24"/>
        </w:rPr>
        <w:t>) into a currency in which a judgment will be rendered (the “</w:t>
      </w:r>
      <w:r>
        <w:rPr>
          <w:rFonts w:ascii="Times New Roman;serif" w:hAnsi="Times New Roman;serif"/>
          <w:b w:val="false"/>
          <w:i/>
          <w:color w:val="000000"/>
          <w:sz w:val="24"/>
        </w:rPr>
        <w:t>Judgment Currency</w:t>
      </w:r>
      <w:r>
        <w:rPr>
          <w:color w:val="000000"/>
        </w:rPr>
        <w:t>”</w:t>
      </w:r>
      <w:r>
        <w:rPr>
          <w:rFonts w:ascii="Times New Roman;serif" w:hAnsi="Times New Roman;serif"/>
          <w:b w:val="false"/>
          <w:color w:val="000000"/>
          <w:sz w:val="24"/>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Times New Roman;serif" w:hAnsi="Times New Roman;serif"/>
          <w:b w:val="false"/>
          <w:i/>
          <w:color w:val="000000"/>
          <w:sz w:val="24"/>
        </w:rPr>
        <w:t>New York Banking Day</w:t>
      </w:r>
      <w:r>
        <w:rPr>
          <w:color w:val="000000"/>
        </w:rPr>
        <w:t xml:space="preserve">” </w:t>
      </w:r>
      <w:r>
        <w:rPr>
          <w:rFonts w:ascii="Times New Roman;serif" w:hAnsi="Times New Roman;serif"/>
          <w:b w:val="false"/>
          <w:color w:val="000000"/>
          <w:sz w:val="24"/>
        </w:rPr>
        <w:t>means any day except a Saturday, Sunday or a Legal Holiday in The City of New York on which banking institutions are authorized or required by law, regulation or executive order to close.</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10.17    </w:t>
      </w:r>
      <w:r>
        <w:rPr>
          <w:rFonts w:ascii="Times New Roman;serif" w:hAnsi="Times New Roman;serif"/>
          <w:b w:val="false"/>
          <w:color w:val="000000"/>
          <w:sz w:val="24"/>
          <w:u w:val="single"/>
        </w:rPr>
        <w:t>Force Majeure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10.18    </w:t>
      </w:r>
      <w:r>
        <w:rPr>
          <w:rFonts w:ascii="Times New Roman;serif" w:hAnsi="Times New Roman;serif"/>
          <w:b w:val="false"/>
          <w:color w:val="000000"/>
          <w:sz w:val="24"/>
          <w:u w:val="single"/>
        </w:rPr>
        <w:t>U.S.A. Patriot Act</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 xml:space="preserve">The parties hereto acknowledge that in accordance with Section 326 of the U.S.A. Patriot Act, the Trustee is required to obtain, verify, and record information that identifies each person or legal entity that establishes a relationship or opens an account with the Trustee. The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parties to this Indenture agree that they will provide the Trustee with such information as it may request in order for the Trustee to satisfy the requirements of the U.S.A. Patriot Act.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ARTICLE XI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SINKING FUNDS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11.1    </w:t>
      </w:r>
      <w:r>
        <w:rPr>
          <w:rFonts w:ascii="Times New Roman;serif" w:hAnsi="Times New Roman;serif"/>
          <w:b w:val="false"/>
          <w:color w:val="000000"/>
          <w:sz w:val="24"/>
          <w:u w:val="single"/>
        </w:rPr>
        <w:t>Applicability of Article</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pStyle w:val="TextBody"/>
        <w:bidi w:val="0"/>
        <w:spacing w:lineRule="auto" w:line="288" w:before="0" w:after="240"/>
        <w:ind w:left="0" w:right="0" w:firstLine="979"/>
        <w:jc w:val="left"/>
        <w:rPr/>
      </w:pPr>
      <w:r>
        <w:rPr>
          <w:rFonts w:ascii="Times New Roman;serif" w:hAnsi="Times New Roman;serif"/>
          <w:b w:val="false"/>
          <w:color w:val="000000"/>
          <w:sz w:val="24"/>
        </w:rPr>
        <w:t>The minimum amount of any sinking fund payment provided for by the terms of the Securities of any Series is herein referred to as a “</w:t>
      </w:r>
      <w:r>
        <w:rPr>
          <w:rFonts w:ascii="Times New Roman;serif" w:hAnsi="Times New Roman;serif"/>
          <w:b w:val="false"/>
          <w:i/>
          <w:color w:val="000000"/>
          <w:sz w:val="24"/>
        </w:rPr>
        <w:t>mandatory sinking fund payment</w:t>
      </w:r>
      <w:r>
        <w:rPr>
          <w:color w:val="000000"/>
        </w:rPr>
        <w:t xml:space="preserve">” </w:t>
      </w:r>
      <w:r>
        <w:rPr>
          <w:rFonts w:ascii="Times New Roman;serif" w:hAnsi="Times New Roman;serif"/>
          <w:b w:val="false"/>
          <w:color w:val="000000"/>
          <w:sz w:val="24"/>
        </w:rPr>
        <w:t>and any other amount provided for by the terms of Securities of such Series is herein referred to as an “</w:t>
      </w:r>
      <w:r>
        <w:rPr>
          <w:rFonts w:ascii="Times New Roman;serif" w:hAnsi="Times New Roman;serif"/>
          <w:b w:val="false"/>
          <w:i/>
          <w:color w:val="000000"/>
          <w:sz w:val="24"/>
        </w:rPr>
        <w:t>optional sinking fund payment</w:t>
      </w:r>
      <w:r>
        <w:rPr>
          <w:rFonts w:ascii="Times New Roman;serif" w:hAnsi="Times New Roman;serif"/>
          <w:b w:val="false"/>
          <w:color w:val="000000"/>
          <w:sz w:val="24"/>
        </w:rPr>
        <w: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11.2    </w:t>
      </w:r>
      <w:r>
        <w:rPr>
          <w:rFonts w:ascii="Times New Roman;serif" w:hAnsi="Times New Roman;serif"/>
          <w:b w:val="false"/>
          <w:color w:val="000000"/>
          <w:sz w:val="24"/>
          <w:u w:val="single"/>
        </w:rPr>
        <w:t>Satisfaction of Sinking Fund Payments with Securities</w:t>
      </w:r>
      <w:r>
        <w:rPr>
          <w:rFonts w:ascii="Times New Roman;serif" w:hAnsi="Times New Roman;serif"/>
          <w:b w:val="false"/>
          <w:color w:val="000000"/>
          <w:sz w:val="24"/>
        </w:rPr>
        <w:t>.</w:t>
      </w:r>
    </w:p>
    <w:p>
      <w:pPr>
        <w:pStyle w:val="TextBody"/>
        <w:bidi w:val="0"/>
        <w:spacing w:lineRule="auto" w:line="288" w:before="0" w:after="240"/>
        <w:ind w:left="0" w:right="0" w:firstLine="979"/>
        <w:jc w:val="left"/>
        <w:rPr/>
      </w:pPr>
      <w:r>
        <w:rPr>
          <w:rFonts w:ascii="Times New Roman;serif" w:hAnsi="Times New Roman;serif"/>
          <w:b w:val="false"/>
          <w:color w:val="000000"/>
          <w:sz w:val="24"/>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the Trustee or such Paying Agent shall from time to time upon receipt of a Company Order pay over and deliver to the Company any cash payment so being held by the Trustee or such Paying Agent upon delivery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93"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Company to the Trustee of Securities of that Series purchased by the Company having an unpaid principal amount equal to the cash payment required to be released to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4"/>
        </w:rPr>
        <w:t>Section 11.3    </w:t>
      </w:r>
      <w:r>
        <w:rPr>
          <w:rFonts w:ascii="Times New Roman;serif" w:hAnsi="Times New Roman;serif"/>
          <w:b w:val="false"/>
          <w:color w:val="000000"/>
          <w:sz w:val="24"/>
          <w:u w:val="single"/>
        </w:rPr>
        <w:t>Redemption of Securities for Sinking Fund</w:t>
      </w:r>
      <w:r>
        <w:rPr>
          <w:rFonts w:ascii="Times New Roman;serif" w:hAnsi="Times New Roman;serif"/>
          <w:b w:val="false"/>
          <w:color w:val="000000"/>
          <w:sz w:val="24"/>
        </w:rPr>
        <w:t>.</w:t>
      </w:r>
    </w:p>
    <w:p>
      <w:pPr>
        <w:pStyle w:val="TextBody"/>
        <w:bidi w:val="0"/>
        <w:spacing w:lineRule="auto" w:line="288" w:before="0" w:after="2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94"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440"/>
        <w:ind w:left="0" w:right="0" w:firstLine="979"/>
        <w:jc w:val="left"/>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Indenture to be duly executed as of the day and year first above written.</w:t>
      </w:r>
    </w:p>
    <w:tbl>
      <w:tblPr>
        <w:tblW w:w="3863" w:type="dxa"/>
        <w:jc w:val="left"/>
        <w:tblInd w:w="0" w:type="dxa"/>
        <w:tblLayout w:type="fixed"/>
        <w:tblCellMar>
          <w:top w:w="28" w:type="dxa"/>
          <w:left w:w="28" w:type="dxa"/>
          <w:bottom w:w="28" w:type="dxa"/>
          <w:right w:w="28" w:type="dxa"/>
        </w:tblCellMar>
      </w:tblPr>
      <w:tblGrid>
        <w:gridCol w:w="124"/>
        <w:gridCol w:w="109"/>
        <w:gridCol w:w="109"/>
        <w:gridCol w:w="548"/>
        <w:gridCol w:w="548"/>
        <w:gridCol w:w="548"/>
        <w:gridCol w:w="548"/>
        <w:gridCol w:w="548"/>
        <w:gridCol w:w="7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Its: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[__________],</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 Trustee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95"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405" w:type="dxa"/>
        <w:jc w:val="right"/>
        <w:tblInd w:w="0" w:type="dxa"/>
        <w:tblLayout w:type="fixed"/>
        <w:tblCellMar>
          <w:top w:w="28" w:type="dxa"/>
          <w:left w:w="28" w:type="dxa"/>
          <w:bottom w:w="28" w:type="dxa"/>
          <w:right w:w="28" w:type="dxa"/>
        </w:tblCellMar>
      </w:tblPr>
      <w:tblGrid>
        <w:gridCol w:w="1706"/>
        <w:gridCol w:w="1499"/>
        <w:gridCol w:w="1501"/>
        <w:gridCol w:w="790"/>
        <w:gridCol w:w="790"/>
        <w:gridCol w:w="1119"/>
      </w:tblGrid>
      <w:tr>
        <w:trPr/>
        <w:tc>
          <w:tcPr>
            <w:tcW w:w="1706"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r>
      <w:tr>
        <w:trPr/>
        <w:tc>
          <w:tcPr>
            <w:tcW w:w="470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924175" cy="342900"/>
                  <wp:effectExtent l="0" t="0" r="0" b="0"/>
                  <wp:docPr id="9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 descr=""/>
                          <pic:cNvPicPr>
                            <a:picLocks noChangeAspect="1" noChangeArrowheads="1"/>
                          </pic:cNvPicPr>
                        </pic:nvPicPr>
                        <pic:blipFill>
                          <a:blip r:embed="rId21"/>
                          <a:stretch>
                            <a:fillRect/>
                          </a:stretch>
                        </pic:blipFill>
                        <pic:spPr bwMode="auto">
                          <a:xfrm>
                            <a:off x="0" y="0"/>
                            <a:ext cx="2924175" cy="342900"/>
                          </a:xfrm>
                          <a:prstGeom prst="rect">
                            <a:avLst/>
                          </a:prstGeom>
                        </pic:spPr>
                      </pic:pic>
                    </a:graphicData>
                  </a:graphic>
                </wp:inline>
              </w:drawing>
            </w:r>
          </w:p>
        </w:tc>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6" w:type="dxa"/>
            <w:gridSpan w:val="3"/>
            <w:vMerge w:val="continue"/>
            <w:tcBorders/>
            <w:tcMar>
              <w:top w:w="0" w:type="dxa"/>
              <w:left w:w="0" w:type="dxa"/>
              <w:bottom w:w="0" w:type="dxa"/>
              <w:right w:w="0" w:type="dxa"/>
            </w:tcMar>
            <w:vAlign w:val="center"/>
          </w:tcPr>
          <w:p>
            <w:pPr>
              <w:pStyle w:val="Normal"/>
              <w:bidi w:val="0"/>
              <w:jc w:val="left"/>
              <w:rPr/>
            </w:pPr>
            <w:r>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1F497D"/>
                <w:sz w:val="24"/>
              </w:rPr>
            </w:pPr>
            <w:r>
              <w:rPr>
                <w:rFonts w:ascii="Arial;sans-serif" w:hAnsi="Arial;sans-serif"/>
                <w:b/>
                <w:color w:val="1F497D"/>
                <w:sz w:val="24"/>
              </w:rPr>
              <w:t>Mary Lynn C. Newman</w:t>
            </w:r>
          </w:p>
        </w:tc>
      </w:tr>
      <w:tr>
        <w:trPr/>
        <w:tc>
          <w:tcPr>
            <w:tcW w:w="4706" w:type="dxa"/>
            <w:gridSpan w:val="3"/>
            <w:vMerge w:val="continue"/>
            <w:tcBorders/>
            <w:tcMar>
              <w:top w:w="0" w:type="dxa"/>
              <w:left w:w="0" w:type="dxa"/>
              <w:bottom w:w="0" w:type="dxa"/>
              <w:right w:w="0" w:type="dxa"/>
            </w:tcMar>
            <w:vAlign w:val="center"/>
          </w:tcPr>
          <w:p>
            <w:pPr>
              <w:pStyle w:val="Normal"/>
              <w:bidi w:val="0"/>
              <w:jc w:val="left"/>
              <w:rPr/>
            </w:pPr>
            <w:r>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i/>
                <w:color w:val="1F497D"/>
                <w:sz w:val="20"/>
              </w:rPr>
            </w:pPr>
            <w:r>
              <w:rPr>
                <w:rFonts w:ascii="Arial;sans-serif" w:hAnsi="Arial;sans-serif"/>
                <w:b w:val="false"/>
                <w:i/>
                <w:color w:val="1F497D"/>
                <w:sz w:val="20"/>
              </w:rPr>
              <w:t>Vice President</w:t>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i/>
                <w:color w:val="1F497D"/>
                <w:sz w:val="20"/>
              </w:rPr>
            </w:pPr>
            <w:r>
              <w:rPr>
                <w:rFonts w:ascii="Arial;sans-serif" w:hAnsi="Arial;sans-serif"/>
                <w:b w:val="false"/>
                <w:i/>
                <w:color w:val="1F497D"/>
                <w:sz w:val="20"/>
              </w:rPr>
              <w:t>Deputy General Counsel</w:t>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1F497D"/>
                <w:sz w:val="20"/>
              </w:rPr>
            </w:pPr>
            <w:r>
              <w:rPr>
                <w:rFonts w:ascii="Arial;sans-serif" w:hAnsi="Arial;sans-serif"/>
                <w:b w:val="false"/>
                <w:i/>
                <w:color w:val="1F497D"/>
                <w:sz w:val="20"/>
              </w:rPr>
              <w:t>775-327-2565</w:t>
            </w:r>
          </w:p>
        </w:tc>
      </w:tr>
    </w:tbl>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May 8, 2026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Employers Holdings, Inc.</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5340 Kietzke Lane, Suite 202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Reno, Nevada 89511</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2"/>
        </w:rPr>
        <w:t>I am Vice President, Deputy General Counsel of EIG Services, Inc., Employers Assurance Company, Employers Compensation Insurance Company, Employers Insurance Company of Nevada and Employers Preferred Insurance Company, each of which is an indirect subsidiary of Employers Holdings, Inc., a Nevada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and, in such capacity, have acted as counsel to the Company in connection with the preparation of a Registration Statement on Form S-3 (the “</w:t>
      </w:r>
      <w:r>
        <w:rPr>
          <w:rFonts w:ascii="Times New Roman;serif" w:hAnsi="Times New Roman;serif"/>
          <w:b/>
          <w:color w:val="000000"/>
          <w:sz w:val="22"/>
        </w:rPr>
        <w:t>Registration Statement</w:t>
      </w:r>
      <w:r>
        <w:rPr>
          <w:color w:val="000000"/>
        </w:rPr>
        <w:t>”</w:t>
      </w:r>
      <w:r>
        <w:rPr>
          <w:rFonts w:ascii="Times New Roman;serif" w:hAnsi="Times New Roman;serif"/>
          <w:b w:val="false"/>
          <w:color w:val="000000"/>
          <w:sz w:val="22"/>
        </w:rPr>
        <w:t>), to be filed on the date hereof by the Company with the United States Securities and Exchange Commission (the “</w:t>
      </w:r>
      <w:r>
        <w:rPr>
          <w:rFonts w:ascii="Times New Roman;serif" w:hAnsi="Times New Roman;serif"/>
          <w:b/>
          <w:color w:val="000000"/>
          <w:sz w:val="22"/>
        </w:rPr>
        <w:t>Commission</w:t>
      </w:r>
      <w:r>
        <w:rPr>
          <w:color w:val="000000"/>
        </w:rPr>
        <w:t>”</w:t>
      </w:r>
      <w:r>
        <w:rPr>
          <w:rFonts w:ascii="Times New Roman;serif" w:hAnsi="Times New Roman;serif"/>
          <w:b w:val="false"/>
          <w:color w:val="000000"/>
          <w:sz w:val="22"/>
        </w:rPr>
        <w:t>), for the purpose of registering under the Securities Act of 1933, as amended (the “</w:t>
      </w:r>
      <w:r>
        <w:rPr>
          <w:rFonts w:ascii="Times New Roman;serif" w:hAnsi="Times New Roman;serif"/>
          <w:b/>
          <w:color w:val="000000"/>
          <w:sz w:val="22"/>
        </w:rPr>
        <w:t>Securities Act</w:t>
      </w:r>
      <w:r>
        <w:rPr>
          <w:color w:val="000000"/>
        </w:rPr>
        <w:t>”</w:t>
      </w:r>
      <w:r>
        <w:rPr>
          <w:rFonts w:ascii="Times New Roman;serif" w:hAnsi="Times New Roman;serif"/>
          <w:b w:val="false"/>
          <w:color w:val="000000"/>
          <w:sz w:val="22"/>
        </w:rPr>
        <w:t>), (i) shares of common stock, par value $0.01 per share (the “</w:t>
      </w:r>
      <w:r>
        <w:rPr>
          <w:rFonts w:ascii="Times New Roman;serif" w:hAnsi="Times New Roman;serif"/>
          <w:b/>
          <w:color w:val="000000"/>
          <w:sz w:val="22"/>
        </w:rPr>
        <w:t>Common Stock</w:t>
      </w:r>
      <w:r>
        <w:rPr>
          <w:color w:val="000000"/>
        </w:rPr>
        <w:t>”</w:t>
      </w:r>
      <w:r>
        <w:rPr>
          <w:rFonts w:ascii="Times New Roman;serif" w:hAnsi="Times New Roman;serif"/>
          <w:b w:val="false"/>
          <w:color w:val="000000"/>
          <w:sz w:val="22"/>
        </w:rPr>
        <w:t>), of the Company; (ii) shares of preferred stock, par value $0.01 per share (the “</w:t>
      </w:r>
      <w:r>
        <w:rPr>
          <w:rFonts w:ascii="Times New Roman;serif" w:hAnsi="Times New Roman;serif"/>
          <w:b/>
          <w:color w:val="000000"/>
          <w:sz w:val="22"/>
        </w:rPr>
        <w:t>Preferred Stock</w:t>
      </w:r>
      <w:r>
        <w:rPr>
          <w:color w:val="000000"/>
        </w:rPr>
        <w:t>”</w:t>
      </w:r>
      <w:r>
        <w:rPr>
          <w:rFonts w:ascii="Times New Roman;serif" w:hAnsi="Times New Roman;serif"/>
          <w:b w:val="false"/>
          <w:color w:val="000000"/>
          <w:sz w:val="22"/>
        </w:rPr>
        <w:t>), of the Company; (iii) the Company’s debt securities (the “</w:t>
      </w:r>
      <w:r>
        <w:rPr>
          <w:rFonts w:ascii="Times New Roman;serif" w:hAnsi="Times New Roman;serif"/>
          <w:b/>
          <w:color w:val="000000"/>
          <w:sz w:val="22"/>
        </w:rPr>
        <w:t>Debt Securities</w:t>
      </w:r>
      <w:r>
        <w:rPr>
          <w:color w:val="000000"/>
        </w:rPr>
        <w:t>”</w:t>
      </w:r>
      <w:r>
        <w:rPr>
          <w:rFonts w:ascii="Times New Roman;serif" w:hAnsi="Times New Roman;serif"/>
          <w:b w:val="false"/>
          <w:color w:val="000000"/>
          <w:sz w:val="22"/>
        </w:rPr>
        <w:t>), which may be issued pursuant to an indenture between the Company and a trustee to be named therein; (iv) depositary shares of the Company representing a fractional interest in a share of Preferred Stock (the “</w:t>
      </w:r>
      <w:r>
        <w:rPr>
          <w:rFonts w:ascii="Times New Roman;serif" w:hAnsi="Times New Roman;serif"/>
          <w:b/>
          <w:color w:val="000000"/>
          <w:sz w:val="22"/>
        </w:rPr>
        <w:t>Depositary Shares</w:t>
      </w:r>
      <w:r>
        <w:rPr>
          <w:color w:val="000000"/>
        </w:rPr>
        <w:t>”</w:t>
      </w:r>
      <w:r>
        <w:rPr>
          <w:rFonts w:ascii="Times New Roman;serif" w:hAnsi="Times New Roman;serif"/>
          <w:b w:val="false"/>
          <w:color w:val="000000"/>
          <w:sz w:val="22"/>
        </w:rPr>
        <w:t>), which may be deposited pursuant to a depositary agreement to be entered into between the Company and a bank or trust company as a depositary; (v) purchase contracts (the “</w:t>
      </w:r>
      <w:r>
        <w:rPr>
          <w:rFonts w:ascii="Times New Roman;serif" w:hAnsi="Times New Roman;serif"/>
          <w:b/>
          <w:color w:val="000000"/>
          <w:sz w:val="22"/>
        </w:rPr>
        <w:t>Purchase Contracts</w:t>
      </w:r>
      <w:r>
        <w:rPr>
          <w:color w:val="000000"/>
        </w:rPr>
        <w:t>”</w:t>
      </w:r>
      <w:r>
        <w:rPr>
          <w:rFonts w:ascii="Times New Roman;serif" w:hAnsi="Times New Roman;serif"/>
          <w:b w:val="false"/>
          <w:color w:val="000000"/>
          <w:sz w:val="22"/>
        </w:rPr>
        <w:t>), which may be issued under one or more purchase contract agreements to be entered into between the Company and the purchase contract agent to be named therein; (vi) units of the Company (the “</w:t>
      </w:r>
      <w:r>
        <w:rPr>
          <w:rFonts w:ascii="Times New Roman;serif" w:hAnsi="Times New Roman;serif"/>
          <w:b/>
          <w:color w:val="000000"/>
          <w:sz w:val="22"/>
        </w:rPr>
        <w:t>Units</w:t>
      </w:r>
      <w:r>
        <w:rPr>
          <w:color w:val="000000"/>
        </w:rPr>
        <w:t>”</w:t>
      </w:r>
      <w:r>
        <w:rPr>
          <w:rFonts w:ascii="Times New Roman;serif" w:hAnsi="Times New Roman;serif"/>
          <w:b w:val="false"/>
          <w:color w:val="000000"/>
          <w:sz w:val="22"/>
        </w:rPr>
        <w:t>), which may be issued under one or more unit agreements to be entered into among the Company, a bank or trust company, as unit agent, and the holders from time to time of the Units; and (vii) warrants of the Company, which may be issued pursuant to a warrant agreement between the Company and the warrant agent to be named therein (the “</w:t>
      </w:r>
      <w:r>
        <w:rPr>
          <w:rFonts w:ascii="Times New Roman;serif" w:hAnsi="Times New Roman;serif"/>
          <w:b/>
          <w:color w:val="000000"/>
          <w:sz w:val="22"/>
        </w:rPr>
        <w:t>Warrants</w:t>
      </w:r>
      <w:r>
        <w:rPr>
          <w:color w:val="000000"/>
        </w:rPr>
        <w:t xml:space="preserve">” </w:t>
      </w:r>
      <w:r>
        <w:rPr>
          <w:rFonts w:ascii="Times New Roman;serif" w:hAnsi="Times New Roman;serif"/>
          <w:b w:val="false"/>
          <w:color w:val="000000"/>
          <w:sz w:val="22"/>
        </w:rPr>
        <w:t>and, collectively with the Common Stock, Preferred Stock, Debt Securities, Depositary Shares, Purchase Contracts and Units, the “</w:t>
      </w:r>
      <w:r>
        <w:rPr>
          <w:rFonts w:ascii="Times New Roman;serif" w:hAnsi="Times New Roman;serif"/>
          <w:b/>
          <w:color w:val="000000"/>
          <w:sz w:val="22"/>
        </w:rPr>
        <w:t>Securities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my examination, I have assumed: (i) the authenticity of original documents and the genuineness of all signatures; (ii) the conformity to the originals of all documents submitted to me as copies; (iii) the truth, accuracy and completeness of the information, representations and warranties contained in the instruments, documents, certificates and records I have reviewed; and (iv) the legal capacity of all natural persons. In making my examination of documents executed or to be executed, I have assumed that the parties thereto, other than the Company, have been duly organized and are and will continue to be validly existing and in good standing, and have or will have the requisite legal status and legal capacity under the laws of their respective jurisdictions of incorporation or organization and had or will have the power, corporate or other, to enter into and perform all obligations thereunder and have also assumed the due authorization by all requisite action, corporate or other, and execution and delivery by such parties of such documents and the validity and binding effect thereof on such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8, 2026</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2150745"/>
                <wp:effectExtent l="0" t="0" r="0" b="0"/>
                <wp:wrapNone/>
                <wp:docPr id="97" name="Frame94"/>
                <a:graphic xmlns:a="http://schemas.openxmlformats.org/drawingml/2006/main">
                  <a:graphicData uri="http://schemas.microsoft.com/office/word/2010/wordprocessingShape">
                    <wps:wsp>
                      <wps:cNvSpPr txBox="1"/>
                      <wps:spPr>
                        <a:xfrm>
                          <a:off x="0" y="0"/>
                          <a:ext cx="6480175" cy="2150745"/>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444"/>
                              <w:gridCol w:w="392"/>
                              <w:gridCol w:w="393"/>
                              <w:gridCol w:w="380"/>
                              <w:gridCol w:w="380"/>
                              <w:gridCol w:w="381"/>
                              <w:gridCol w:w="2290"/>
                              <w:gridCol w:w="2290"/>
                              <w:gridCol w:w="3255"/>
                            </w:tblGrid>
                            <w:tr>
                              <w:trPr/>
                              <w:tc>
                                <w:tcPr>
                                  <w:tcW w:w="444" w:type="dxa"/>
                                  <w:tcBorders/>
                                  <w:vAlign w:val="center"/>
                                </w:tcPr>
                                <w:p>
                                  <w:pPr>
                                    <w:pStyle w:val="TableContents"/>
                                    <w:bidi w:val="0"/>
                                    <w:spacing w:before="0" w:after="283"/>
                                    <w:jc w:val="left"/>
                                    <w:rPr>
                                      <w:sz w:val="4"/>
                                      <w:szCs w:val="4"/>
                                    </w:rPr>
                                  </w:pPr>
                                  <w:r>
                                    <w:rPr>
                                      <w:sz w:val="4"/>
                                      <w:szCs w:val="4"/>
                                    </w:rPr>
                                  </w:r>
                                  <w:r>
                                    <w:br w:type="page"/>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62626"/>
                                      <w:sz w:val="15"/>
                                    </w:rPr>
                                  </w:pPr>
                                  <w:r>
                                    <w:rPr>
                                      <w:rFonts w:ascii="Arial;sans-serif" w:hAnsi="Arial;sans-serif"/>
                                      <w:b w:val="false"/>
                                      <w:color w:val="262626"/>
                                      <w:sz w:val="15"/>
                                    </w:rPr>
                                    <w:t>P.O. Box 539003, Henderson, NV 89053-9003</w:t>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316" w:before="0" w:after="0"/>
                                    <w:jc w:val="left"/>
                                    <w:rPr>
                                      <w:rFonts w:ascii="Arial;sans-serif" w:hAnsi="Arial;sans-serif"/>
                                      <w:b w:val="false"/>
                                      <w:color w:val="262626"/>
                                      <w:sz w:val="15"/>
                                    </w:rPr>
                                  </w:pPr>
                                  <w:r>
                                    <w:rPr>
                                      <w:rFonts w:ascii="Arial;sans-serif" w:hAnsi="Arial;sans-serif"/>
                                      <w:b w:val="false"/>
                                      <w:color w:val="262626"/>
                                      <w:sz w:val="15"/>
                                    </w:rPr>
                                    <w:t>888.682.6671</w:t>
                                  </w:r>
                                </w:p>
                                <w:p>
                                  <w:pPr>
                                    <w:pStyle w:val="TableContents"/>
                                    <w:bidi w:val="0"/>
                                    <w:spacing w:lineRule="auto" w:line="240" w:before="0" w:after="0"/>
                                    <w:jc w:val="left"/>
                                    <w:rPr>
                                      <w:rFonts w:ascii="Arial;sans-serif" w:hAnsi="Arial;sans-serif"/>
                                      <w:b w:val="false"/>
                                      <w:color w:val="262626"/>
                                      <w:sz w:val="15"/>
                                    </w:rPr>
                                  </w:pPr>
                                  <w:r>
                                    <w:rPr>
                                      <w:rFonts w:ascii="Arial;sans-serif" w:hAnsi="Arial;sans-serif"/>
                                      <w:b w:val="false"/>
                                      <w:color w:val="262626"/>
                                      <w:sz w:val="15"/>
                                    </w:rPr>
                                    <w:t>employers.com</w:t>
                                  </w:r>
                                </w:p>
                                <w:p>
                                  <w:pPr>
                                    <w:pStyle w:val="TableContents"/>
                                    <w:bidi w:val="0"/>
                                    <w:spacing w:lineRule="auto" w:line="316" w:before="0" w:after="0"/>
                                    <w:jc w:val="left"/>
                                    <w:rPr>
                                      <w:rFonts w:ascii="Arial;sans-serif" w:hAnsi="Arial;sans-serif"/>
                                      <w:b w:val="false"/>
                                      <w:color w:val="262626"/>
                                      <w:sz w:val="15"/>
                                    </w:rPr>
                                  </w:pPr>
                                  <w:r>
                                    <w:rPr>
                                      <w:rFonts w:ascii="Arial;sans-serif" w:hAnsi="Arial;sans-serif"/>
                                      <w:b w:val="false"/>
                                      <w:color w:val="262626"/>
                                      <w:sz w:val="15"/>
                                    </w:rPr>
                                    <w:t>cerity.com</w:t>
                                  </w:r>
                                </w:p>
                              </w:tc>
                              <w:tc>
                                <w:tcPr>
                                  <w:tcW w:w="7835" w:type="dxa"/>
                                  <w:gridSpan w:val="3"/>
                                  <w:tcBorders>
                                    <w:left w:val="single" w:sz="8" w:space="0" w:color="000000"/>
                                  </w:tcBorders>
                                  <w:tcMar>
                                    <w:top w:w="0" w:type="dxa"/>
                                    <w:bottom w:w="0" w:type="dxa"/>
                                    <w:right w:w="0" w:type="dxa"/>
                                  </w:tcMar>
                                  <w:vAlign w:val="center"/>
                                </w:tcPr>
                                <w:p>
                                  <w:pPr>
                                    <w:pStyle w:val="TableContents"/>
                                    <w:bidi w:val="0"/>
                                    <w:spacing w:lineRule="auto" w:line="316" w:before="100" w:after="100"/>
                                    <w:jc w:val="both"/>
                                    <w:rPr/>
                                  </w:pPr>
                                  <w:r>
                                    <w:rPr>
                                      <w:rFonts w:ascii="Arial;sans-serif" w:hAnsi="Arial;sans-serif"/>
                                      <w:b w:val="false"/>
                                      <w:color w:val="595959"/>
                                      <w:sz w:val="15"/>
                                    </w:rPr>
                                    <w:t xml:space="preserve">Employers Holdings Inc.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EIG Services, Inc., an affiliated agency and adjuster (in California, dba EIG Insurance Services and in Pennsylvania, dba EIG Administrative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Cerity Services, Inc., an affiliated agency (in California, dba Cerity Insurance Services)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Preferred Insurance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Assurance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Compensation Insurance Company </w:t>
                                  </w:r>
                                  <w:r>
                                    <w:rPr>
                                      <w:rFonts w:ascii="Arial;sans-serif" w:hAnsi="Arial;sans-serif"/>
                                      <w:b w:val="false"/>
                                      <w:color w:val="BFBFBF"/>
                                      <w:sz w:val="15"/>
                                    </w:rPr>
                                    <w:t xml:space="preserve">| </w:t>
                                  </w:r>
                                  <w:r>
                                    <w:rPr>
                                      <w:rFonts w:ascii="Arial;sans-serif" w:hAnsi="Arial;sans-serif"/>
                                      <w:b w:val="false"/>
                                      <w:color w:val="595959"/>
                                      <w:sz w:val="15"/>
                                    </w:rPr>
                                    <w:t xml:space="preserve">Employers Insurance Company of Nevada (in California, dba EIG Insurance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Cerity Insurance Company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9.35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444"/>
                        <w:gridCol w:w="392"/>
                        <w:gridCol w:w="393"/>
                        <w:gridCol w:w="380"/>
                        <w:gridCol w:w="380"/>
                        <w:gridCol w:w="381"/>
                        <w:gridCol w:w="2290"/>
                        <w:gridCol w:w="2290"/>
                        <w:gridCol w:w="3255"/>
                      </w:tblGrid>
                      <w:tr>
                        <w:trPr/>
                        <w:tc>
                          <w:tcPr>
                            <w:tcW w:w="444"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262626"/>
                                <w:sz w:val="15"/>
                              </w:rPr>
                            </w:pPr>
                            <w:r>
                              <w:rPr>
                                <w:rFonts w:ascii="Arial;sans-serif" w:hAnsi="Arial;sans-serif"/>
                                <w:b w:val="false"/>
                                <w:color w:val="262626"/>
                                <w:sz w:val="15"/>
                              </w:rPr>
                              <w:t>P.O. Box 539003, Henderson, NV 89053-9003</w:t>
                            </w:r>
                          </w:p>
                        </w:tc>
                        <w:tc>
                          <w:tcPr>
                            <w:tcW w:w="1141" w:type="dxa"/>
                            <w:gridSpan w:val="3"/>
                            <w:tcBorders>
                              <w:left w:val="single" w:sz="8" w:space="0" w:color="000000"/>
                            </w:tcBorders>
                            <w:tcMar>
                              <w:top w:w="0" w:type="dxa"/>
                              <w:bottom w:w="0" w:type="dxa"/>
                              <w:right w:w="0" w:type="dxa"/>
                            </w:tcMar>
                            <w:vAlign w:val="center"/>
                          </w:tcPr>
                          <w:p>
                            <w:pPr>
                              <w:pStyle w:val="TableContents"/>
                              <w:bidi w:val="0"/>
                              <w:spacing w:lineRule="auto" w:line="316" w:before="0" w:after="0"/>
                              <w:jc w:val="left"/>
                              <w:rPr>
                                <w:rFonts w:ascii="Arial;sans-serif" w:hAnsi="Arial;sans-serif"/>
                                <w:b w:val="false"/>
                                <w:color w:val="262626"/>
                                <w:sz w:val="15"/>
                              </w:rPr>
                            </w:pPr>
                            <w:r>
                              <w:rPr>
                                <w:rFonts w:ascii="Arial;sans-serif" w:hAnsi="Arial;sans-serif"/>
                                <w:b w:val="false"/>
                                <w:color w:val="262626"/>
                                <w:sz w:val="15"/>
                              </w:rPr>
                              <w:t>888.682.6671</w:t>
                            </w:r>
                          </w:p>
                          <w:p>
                            <w:pPr>
                              <w:pStyle w:val="TableContents"/>
                              <w:bidi w:val="0"/>
                              <w:spacing w:lineRule="auto" w:line="240" w:before="0" w:after="0"/>
                              <w:jc w:val="left"/>
                              <w:rPr>
                                <w:rFonts w:ascii="Arial;sans-serif" w:hAnsi="Arial;sans-serif"/>
                                <w:b w:val="false"/>
                                <w:color w:val="262626"/>
                                <w:sz w:val="15"/>
                              </w:rPr>
                            </w:pPr>
                            <w:r>
                              <w:rPr>
                                <w:rFonts w:ascii="Arial;sans-serif" w:hAnsi="Arial;sans-serif"/>
                                <w:b w:val="false"/>
                                <w:color w:val="262626"/>
                                <w:sz w:val="15"/>
                              </w:rPr>
                              <w:t>employers.com</w:t>
                            </w:r>
                          </w:p>
                          <w:p>
                            <w:pPr>
                              <w:pStyle w:val="TableContents"/>
                              <w:bidi w:val="0"/>
                              <w:spacing w:lineRule="auto" w:line="316" w:before="0" w:after="0"/>
                              <w:jc w:val="left"/>
                              <w:rPr>
                                <w:rFonts w:ascii="Arial;sans-serif" w:hAnsi="Arial;sans-serif"/>
                                <w:b w:val="false"/>
                                <w:color w:val="262626"/>
                                <w:sz w:val="15"/>
                              </w:rPr>
                            </w:pPr>
                            <w:r>
                              <w:rPr>
                                <w:rFonts w:ascii="Arial;sans-serif" w:hAnsi="Arial;sans-serif"/>
                                <w:b w:val="false"/>
                                <w:color w:val="262626"/>
                                <w:sz w:val="15"/>
                              </w:rPr>
                              <w:t>cerity.com</w:t>
                            </w:r>
                          </w:p>
                        </w:tc>
                        <w:tc>
                          <w:tcPr>
                            <w:tcW w:w="7835" w:type="dxa"/>
                            <w:gridSpan w:val="3"/>
                            <w:tcBorders>
                              <w:left w:val="single" w:sz="8" w:space="0" w:color="000000"/>
                            </w:tcBorders>
                            <w:tcMar>
                              <w:top w:w="0" w:type="dxa"/>
                              <w:bottom w:w="0" w:type="dxa"/>
                              <w:right w:w="0" w:type="dxa"/>
                            </w:tcMar>
                            <w:vAlign w:val="center"/>
                          </w:tcPr>
                          <w:p>
                            <w:pPr>
                              <w:pStyle w:val="TableContents"/>
                              <w:bidi w:val="0"/>
                              <w:spacing w:lineRule="auto" w:line="316" w:before="100" w:after="100"/>
                              <w:jc w:val="both"/>
                              <w:rPr/>
                            </w:pPr>
                            <w:r>
                              <w:rPr>
                                <w:rFonts w:ascii="Arial;sans-serif" w:hAnsi="Arial;sans-serif"/>
                                <w:b w:val="false"/>
                                <w:color w:val="595959"/>
                                <w:sz w:val="15"/>
                              </w:rPr>
                              <w:t xml:space="preserve">Employers Holdings Inc.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EIG Services, Inc., an affiliated agency and adjuster (in California, dba EIG Insurance Services and in Pennsylvania, dba EIG Administrative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Cerity Services, Inc., an affiliated agency (in California, dba Cerity Insurance Services)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Preferred Insurance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Assurance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Employers Compensation Insurance Company </w:t>
                            </w:r>
                            <w:r>
                              <w:rPr>
                                <w:rFonts w:ascii="Arial;sans-serif" w:hAnsi="Arial;sans-serif"/>
                                <w:b w:val="false"/>
                                <w:color w:val="BFBFBF"/>
                                <w:sz w:val="15"/>
                              </w:rPr>
                              <w:t xml:space="preserve">| </w:t>
                            </w:r>
                            <w:r>
                              <w:rPr>
                                <w:rFonts w:ascii="Arial;sans-serif" w:hAnsi="Arial;sans-serif"/>
                                <w:b w:val="false"/>
                                <w:color w:val="595959"/>
                                <w:sz w:val="15"/>
                              </w:rPr>
                              <w:t xml:space="preserve">Employers Insurance Company of Nevada (in California, dba EIG Insurance Company) </w:t>
                            </w:r>
                            <w:r>
                              <w:rPr>
                                <w:rFonts w:ascii="Arial;sans-serif" w:hAnsi="Arial;sans-serif"/>
                                <w:b w:val="false"/>
                                <w:color w:val="BFBFBF"/>
                                <w:sz w:val="15"/>
                              </w:rPr>
                              <w:t>|</w:t>
                            </w:r>
                            <w:r>
                              <w:rPr>
                                <w:color w:val="595959"/>
                              </w:rPr>
                              <w:t xml:space="preserve"> </w:t>
                            </w:r>
                            <w:r>
                              <w:rPr>
                                <w:rFonts w:ascii="Arial;sans-serif" w:hAnsi="Arial;sans-serif"/>
                                <w:b w:val="false"/>
                                <w:color w:val="595959"/>
                                <w:sz w:val="15"/>
                              </w:rPr>
                              <w:t xml:space="preserve">Cerity Insurance Company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2</w:t>
      </w:r>
    </w:p>
    <w:p>
      <w:pPr>
        <w:pStyle w:val="TextBody"/>
        <w:bidi w:val="0"/>
        <w:spacing w:lineRule="auto" w:line="288" w:before="0" w:after="240"/>
        <w:ind w:left="0" w:right="0" w:firstLine="720"/>
        <w:jc w:val="both"/>
        <w:rPr/>
      </w:pPr>
      <w:r>
        <w:rPr>
          <w:rFonts w:ascii="Times New Roman;serif" w:hAnsi="Times New Roman;serif"/>
          <w:b w:val="false"/>
          <w:color w:val="000000"/>
          <w:sz w:val="22"/>
        </w:rPr>
        <w:t>In connection with the opinions expressed below, I have assumed that, at or prior to the time of the delivery of any Securities, that (i) the Board of Directors of the Company (or a duly authorized committee thereof) (the “</w:t>
      </w:r>
      <w:r>
        <w:rPr>
          <w:rFonts w:ascii="Times New Roman;serif" w:hAnsi="Times New Roman;serif"/>
          <w:b/>
          <w:color w:val="000000"/>
          <w:sz w:val="22"/>
        </w:rPr>
        <w:t>Board</w:t>
      </w:r>
      <w:r>
        <w:rPr>
          <w:color w:val="000000"/>
        </w:rPr>
        <w:t>”</w:t>
      </w:r>
      <w:r>
        <w:rPr>
          <w:rFonts w:ascii="Times New Roman;serif" w:hAnsi="Times New Roman;serif"/>
          <w:b w:val="false"/>
          <w:color w:val="000000"/>
          <w:sz w:val="22"/>
        </w:rPr>
        <w:t>) shall have duly established the terms of the Securities and duly authorized the issuance and sale of such Securities and such authorization shall not have been modified or rescinded; (ii) the Registration Statement, and any amendments thereto (including post-effective amendments), will have become effective under the Securities Act; (iii) a prospectus supplement will have been filed with the Commission describing the Securities offered thereby; (iv) the Securities will be issued and sold in compliance with applicable U.S. federal and state securities laws and in the manner stated in the Registration Statement and the applicable prospectus supplement; (v) a definitive purchase, underwriting or similar agreement with respect to any Securities offered will have been duly authorized and validly executed and delivered by the Company and the other parties thereto; (vi) any Securities issuable upon conversion, exchange, redemption or exercise of any Securities being offered will be duly authorized, created and, if appropriate, reserved for issuance upon such conversion, exchange, redemption or exercise; and (vii) there shall not have occurred any change in law affecting the validity or enforceability of such Securities. I have also assumed that none of the terms of any Securities to be established subsequent to the date hereof, the issuance and delivery of such Securities or the compliance by the Company with the terms of such Securities will violate any applicable law or public policy or will result in a violation of any provision of any instrument or agreement then binding upon the Company, or any restriction imposed by any court or governmental body having jurisdiction over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upon the foregoing, I am of the opinion that:</w:t>
      </w:r>
    </w:p>
    <w:p>
      <w:pPr>
        <w:pStyle w:val="TextBody"/>
        <w:bidi w:val="0"/>
        <w:spacing w:lineRule="auto" w:line="288" w:before="0" w:after="240"/>
        <w:jc w:val="both"/>
        <w:rPr/>
      </w:pPr>
      <w:r>
        <w:rPr>
          <w:rFonts w:ascii="Times New Roman;serif" w:hAnsi="Times New Roman;serif"/>
          <w:b w:val="false"/>
          <w:color w:val="000000"/>
          <w:sz w:val="22"/>
        </w:rPr>
        <w:t>1.When the necessary corporate action on the part of the Company has been taken to authorize the issuance and sale of shares of Common Stock or the issuance and sale of Securities convertible or exchangeable into or exercisable for shares of Common Stock (including Purchase Contracts, Units, Warrants and Debt Securities) (each, a “</w:t>
      </w:r>
      <w:r>
        <w:rPr>
          <w:rFonts w:ascii="Times New Roman;serif" w:hAnsi="Times New Roman;serif"/>
          <w:b/>
          <w:color w:val="000000"/>
          <w:sz w:val="22"/>
        </w:rPr>
        <w:t>Common</w:t>
      </w:r>
      <w:r>
        <w:rPr>
          <w:color w:val="000000"/>
        </w:rPr>
        <w:t xml:space="preserve"> </w:t>
      </w:r>
      <w:r>
        <w:rPr>
          <w:rFonts w:ascii="Times New Roman;serif" w:hAnsi="Times New Roman;serif"/>
          <w:b/>
          <w:color w:val="000000"/>
          <w:sz w:val="22"/>
        </w:rPr>
        <w:t>Offered Security</w:t>
      </w:r>
      <w:r>
        <w:rPr>
          <w:color w:val="000000"/>
        </w:rPr>
        <w:t>”</w:t>
      </w:r>
      <w:r>
        <w:rPr>
          <w:rFonts w:ascii="Times New Roman;serif" w:hAnsi="Times New Roman;serif"/>
          <w:b w:val="false"/>
          <w:color w:val="000000"/>
          <w:sz w:val="22"/>
        </w:rPr>
        <w:t>), in either case, proposed to be sold by the Company, and when such shares of Common Stock are issued and delivered in accordance with the applicable underwriting or other agreement against payment therefor (in excess of par value of the Common Stock) or upon conversion, exchange or exercise of any such Common Offered Security, in accordance with terms of such Common Offered Security or the instrument governing such Common Offered Security providing for such conversion, exchange or exercise as approved by the Board, for the consideration approved by the Board (which consideration is not less than the par value of the Common Stock), such shares of Common Stock will be validly issued, fully-paid and non-assessable.</w:t>
      </w:r>
    </w:p>
    <w:p>
      <w:pPr>
        <w:pStyle w:val="TextBody"/>
        <w:bidi w:val="0"/>
        <w:spacing w:lineRule="auto" w:line="288" w:before="0" w:after="240"/>
        <w:jc w:val="both"/>
        <w:rPr/>
      </w:pPr>
      <w:r>
        <w:rPr>
          <w:rFonts w:ascii="Times New Roman;serif" w:hAnsi="Times New Roman;serif"/>
          <w:b w:val="false"/>
          <w:color w:val="000000"/>
          <w:sz w:val="22"/>
        </w:rPr>
        <w:t>2.Upon designation of the relative rights, preferences and limitations of any series of Preferred Stock by the Board and the proper filing with the Secretary of State of the State of Nevada of a Certificate of Designation (“</w:t>
      </w:r>
      <w:r>
        <w:rPr>
          <w:rFonts w:ascii="Times New Roman;serif" w:hAnsi="Times New Roman;serif"/>
          <w:b/>
          <w:color w:val="000000"/>
          <w:sz w:val="22"/>
        </w:rPr>
        <w:t>Certificate of Designation</w:t>
      </w:r>
      <w:r>
        <w:rPr>
          <w:color w:val="000000"/>
        </w:rPr>
        <w:t>”</w:t>
      </w:r>
      <w:r>
        <w:rPr>
          <w:rFonts w:ascii="Times New Roman;serif" w:hAnsi="Times New Roman;serif"/>
          <w:b w:val="false"/>
          <w:color w:val="000000"/>
          <w:sz w:val="22"/>
        </w:rPr>
        <w:t>) to the Amended and Restated Articles of Incorporation of the Company (“</w:t>
      </w:r>
      <w:r>
        <w:rPr>
          <w:rFonts w:ascii="Times New Roman;serif" w:hAnsi="Times New Roman;serif"/>
          <w:b/>
          <w:color w:val="000000"/>
          <w:sz w:val="22"/>
        </w:rPr>
        <w:t>Articles of Incorporation</w:t>
      </w:r>
      <w:r>
        <w:rPr>
          <w:color w:val="000000"/>
        </w:rPr>
        <w:t>”</w:t>
      </w:r>
      <w:r>
        <w:rPr>
          <w:rFonts w:ascii="Times New Roman;serif" w:hAnsi="Times New Roman;serif"/>
          <w:b w:val="false"/>
          <w:color w:val="000000"/>
          <w:sz w:val="22"/>
        </w:rPr>
        <w:t>) relating to such series of Preferred Stock that has been duly adopted by the Board and filed with and accepted for record by the Secretary of State of the State of Nevada, and when all necessary corporate action on the part of the Company has been taken to authorize the issuance and sale of such series of Preferred Stock or the issuance and sale of Securities convertible or exchangeable into or exercisable for shares of Preferred Stock (including Depositary Shares, Purchase Contracts, Units, Warrants and Debt Securities) (the “</w:t>
      </w:r>
      <w:r>
        <w:rPr>
          <w:rFonts w:ascii="Times New Roman;serif" w:hAnsi="Times New Roman;serif"/>
          <w:b/>
          <w:color w:val="000000"/>
          <w:sz w:val="22"/>
        </w:rPr>
        <w:t>Preferred</w:t>
      </w:r>
      <w:r>
        <w:rPr>
          <w:color w:val="000000"/>
        </w:rPr>
        <w:t xml:space="preserve"> </w:t>
      </w:r>
      <w:r>
        <w:rPr>
          <w:rFonts w:ascii="Times New Roman;serif" w:hAnsi="Times New Roman;serif"/>
          <w:b/>
          <w:color w:val="000000"/>
          <w:sz w:val="22"/>
        </w:rPr>
        <w:t>Offered Security</w:t>
      </w:r>
      <w:r>
        <w:rPr>
          <w:color w:val="000000"/>
        </w:rPr>
        <w:t>”</w:t>
      </w:r>
      <w:r>
        <w:rPr>
          <w:rFonts w:ascii="Times New Roman;serif" w:hAnsi="Times New Roman;serif"/>
          <w:b w:val="false"/>
          <w:color w:val="000000"/>
          <w:sz w:val="22"/>
        </w:rPr>
        <w:t xml:space="preserve">), in either case, proposed to be sold by the Company, and when such shares of Preferred Stock are issued and delivered in accordance with the applicable underwriting or other agreement against payment therefor (in excess of par value of the Preferred Stock) or upon conversion, exchange or exercise of any such Preferred Offered Security, in accordance with terms of such Preferred Offered Security or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8, 2026</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06400"/>
                <wp:effectExtent l="0" t="0" r="0" b="0"/>
                <wp:wrapNone/>
                <wp:docPr id="98" name="Frame95"/>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2924175" cy="342900"/>
                                  <wp:effectExtent l="0" t="0" r="0" b="0"/>
                                  <wp:docPr id="9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 descr=""/>
                                          <pic:cNvPicPr>
                                            <a:picLocks noChangeAspect="1" noChangeArrowheads="1"/>
                                          </pic:cNvPicPr>
                                        </pic:nvPicPr>
                                        <pic:blipFill>
                                          <a:blip r:embed="rId22"/>
                                          <a:stretch>
                                            <a:fillRect/>
                                          </a:stretch>
                                        </pic:blipFill>
                                        <pic:spPr bwMode="auto">
                                          <a:xfrm>
                                            <a:off x="0" y="0"/>
                                            <a:ext cx="2924175" cy="3429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924175" cy="342900"/>
                            <wp:effectExtent l="0" t="0" r="0" b="0"/>
                            <wp:docPr id="10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 descr=""/>
                                    <pic:cNvPicPr>
                                      <a:picLocks noChangeAspect="1" noChangeArrowheads="1"/>
                                    </pic:cNvPicPr>
                                  </pic:nvPicPr>
                                  <pic:blipFill>
                                    <a:blip r:embed="rId23"/>
                                    <a:stretch>
                                      <a:fillRect/>
                                    </a:stretch>
                                  </pic:blipFill>
                                  <pic:spPr bwMode="auto">
                                    <a:xfrm>
                                      <a:off x="0" y="0"/>
                                      <a:ext cx="2924175" cy="3429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3</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instrument governing such Preferred Offered Security providing for such conversion, exchange or exercise as approved by the Board, for the consideration approved by the Board (which consideration is not less than the par value of the Preferred Stock), such shares of Preferred Stock will be validly issued, fully paid and non-assessable.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3.With respect to any Depositary Shares, when (a) Depositary Shares and a sufficient number of shares of Preferred Stock represented by such Depositary Shares have been duly authorized by the Board, (b) the Registration Statement (including any necessary post-effective amendments) has become effective under the Securities Act, (c) a prospectus supplement with respect to the sale of such Depositary Shares and the requisite number of shares of the series of Preferred Stock underlying such Depositary Shares shall have been filed with the Commission in compliance with the Securities Act and the rules and regulations thereunder, (d) the actions described in paragraph 2 above shall have been taken, (e) a Deposit Agreement relating to Depositary Shares has been duly authorized, executed and delivered by the Company and duly executed and delivered by the depositary named in the Deposit Agreement, (f) the terms of such Depositary Shares and related depositary receipts and their sale and issuance have been duly established in conformity with the resolutions adopted by the Board, the Certificate of Designation, the Articles of Incorporation, and the Deposit Agreement, which terms do not violate any applicable law or result in a default under or breach of any agreement or instrument binding upon the Company and comply with any requirement or restriction imposed by any court or government body having jurisdiction over the Company, and (g) the Depositary Shares have been duly executed and countersigned in accordance with the Deposit Agreement and duly issued and sold as contemplated by the Registration Statement and the prospectus supplement and consideration therefor has been received by the Company, the shares of Preferred Stock represented by such Depositary Shares will be duly authorized for issuance by the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4.With respect to any Purchase Contracts, when (a) such Purchase Contracts and a sufficient number of shares of Common Stock or Preferred Stock, as the case may be, issuable pursuant to such Purchase Contracts, have been duly authorized by the Board, (b) the Registration Statement (including any necessary post-effective amendments) has become effective under the Securities Act, (c) a prospectus supplement with respect to the sale of such Purchase Contracts and the requisite number of shares of Common Stock or Preferred Stock, as the case may be, issuable pursuant to such Purchase Contracts shall have been filed with the Commission in compliance with the Securities Act and the rules and regulations thereunder, (d) a Purchase Contract Agreement relating to such Purchase Contracts shall have been duly authorized, executed and delivered by the Company and duly executed and delivered by the Purchase Contract agent named in the Purchase Contract Agreement, (e) the terms of such Purchase Contracts and of their sale and issuance have been duly established in conformity with the resolutions adopted by the Board, the Articles of Incorporation, and the Purchase Contract Agreement, which terms do not violate any applicable law or result in a default under or breach of any agreement or instrument binding upon the Company and comply with any requirement or restriction imposed by any court or government body having jurisdiction over the Company, (f) the certificates, if any, representing such Purchase Contracts shall have been duly executed, countersigned and registered in accordance with the Purchase Contract Agreement and shall have been duly delivered to the purchasers thereof in accordance with the Purchase Contract Agreement against payment of the agreed consideration therefor, and (g) the Purchase Contracts have been duly issued and sold as contemplated by the Registration Statement and the prospectus supplement and consideration therefor has been received by the Company, shares of Common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8, 2026</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06400"/>
                <wp:effectExtent l="0" t="0" r="0" b="0"/>
                <wp:wrapNone/>
                <wp:docPr id="101" name="Frame96"/>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2924175" cy="342900"/>
                                  <wp:effectExtent l="0" t="0" r="0" b="0"/>
                                  <wp:docPr id="10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 descr=""/>
                                          <pic:cNvPicPr>
                                            <a:picLocks noChangeAspect="1" noChangeArrowheads="1"/>
                                          </pic:cNvPicPr>
                                        </pic:nvPicPr>
                                        <pic:blipFill>
                                          <a:blip r:embed="rId24"/>
                                          <a:stretch>
                                            <a:fillRect/>
                                          </a:stretch>
                                        </pic:blipFill>
                                        <pic:spPr bwMode="auto">
                                          <a:xfrm>
                                            <a:off x="0" y="0"/>
                                            <a:ext cx="2924175" cy="3429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924175" cy="342900"/>
                            <wp:effectExtent l="0" t="0" r="0" b="0"/>
                            <wp:docPr id="10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 descr=""/>
                                    <pic:cNvPicPr>
                                      <a:picLocks noChangeAspect="1" noChangeArrowheads="1"/>
                                    </pic:cNvPicPr>
                                  </pic:nvPicPr>
                                  <pic:blipFill>
                                    <a:blip r:embed="rId25"/>
                                    <a:stretch>
                                      <a:fillRect/>
                                    </a:stretch>
                                  </pic:blipFill>
                                  <pic:spPr bwMode="auto">
                                    <a:xfrm>
                                      <a:off x="0" y="0"/>
                                      <a:ext cx="2924175" cy="3429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4</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Stock or Preferred Stock, as the case may be, issuable pursuant to such Purchase Contracts will be duly authorized for issuance by the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5.With respect to any Units, when (a) such Units and a sufficient number of shares of Common Stock or Preferred Stock, as the case may be, issuable upon settlement of or in accordance with the terms of the instruments comprising such Units have been duly authorized by the Board, (b) the Registration Statement (including any necessary post-effective amendments) has become effective under the Securities Act, (c) a prospectus supplement with respect to the sale of such Units and the requisite number of shares of Common Stock or Preferred Stock, as the case may be, issuable upon settlement of or in accordance with the terms of the instruments comprising such Units shall have been filed with the Commission in compliance with the Securities Act and the rules and regulations thereunder, (d) a Unit Agreement relating to such Units has been duly authorized, executed and delivered by the Company and duly executed and delivered by the Unit agent named in the Unit Agreement, (e) the terms of such Units and of their sale and issuance have been duly established in conformity with the resolutions of the Board, the Articles of Incorporation, and the Unit Agreement, which terms do not violate any applicable law or result in a default under or breach of any agreement or instrument binding upon the Company and comply with any requirement or restriction imposed by any court or government body having jurisdiction over the Company, and (f) such Units and related Unit certificates, if any, have been duly executed, countersigned, and registered in accordance with the Unit Agreement and duly issued and sold as contemplated by the Registration Statement and the prospectus supplement and consideration therefor has been received by the Company, shares of Common Stock or Preferred Stock, as the case may be, issuable upon settlement of or in accordance with the terms of the instruments comprising such Units will be duly authorized for issuance by the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6.With respect to the Warrants, when (a) Warrants and a sufficient number of shares of Common Stock or Preferred Stock, as the case may be, issuable upon exercise of the Warrants, have been duly authorized by the Board, (b) the Registration Statement (including any necessary post-effective amendments) has become effective under the Securities Act, (c) a prospectus supplement with respect to the sale of such Warrants and the requisite number of shares of Common Stock or Preferred Stock, as the case may be, issuable upon exercise of such Warrants shall have been filed with the Commission in compliance with the Securities Act and the rules and regulations thereunder, (d) a Warrant Agreement relating to the Warrants has been duly authorized and validly executed and delivered by the Company and duly executed and delivered by the Warrant Agent named in the Warrant Agreement, (e) the terms of such Warrants and of their sale and issuance have been duly established in conformity with the resolutions adopted by the Board, the Articles of Incorporation, and the Warrant Agreement, which terms do not violate any applicable law or result in a default under or breach of any agreement or instrument binding upon the Company and comply with any requirement or restriction imposed by any court or government body having jurisdiction over the Company, and (f) the Warrants have been duly executed and countersigned in accordance with the Warrant Agreement and duly issued and sold as contemplated by the Registration Statement and the prospectus supplement and consideration therefor has been received by the Company, shares of Common Stock or Preferred Stock, as the case may be, issuable upon exercise of the Warrants will be duly authorized for issuance by the Company.</w:t>
      </w:r>
    </w:p>
    <w:p>
      <w:pPr>
        <w:pStyle w:val="TextBody"/>
        <w:bidi w:val="0"/>
        <w:spacing w:lineRule="auto" w:line="288" w:before="0" w:after="240"/>
        <w:jc w:val="both"/>
        <w:rPr/>
      </w:pPr>
      <w:r>
        <w:rPr>
          <w:rFonts w:ascii="Times New Roman;serif" w:hAnsi="Times New Roman;serif"/>
          <w:b w:val="false"/>
          <w:color w:val="000000"/>
          <w:sz w:val="22"/>
        </w:rPr>
        <w:t xml:space="preserve">7.With respect to the Debt Securities, when (a) Debt Securities and a sufficient number of shares of Common Stock or Preferred Stock, as the case may be, </w:t>
      </w:r>
      <w:r>
        <w:rPr>
          <w:rFonts w:ascii="Times New Roman;serif" w:hAnsi="Times New Roman;serif"/>
          <w:b w:val="false"/>
          <w:color w:val="000000"/>
          <w:sz w:val="24"/>
        </w:rPr>
        <w:t xml:space="preserve">issuable </w:t>
      </w:r>
      <w:r>
        <w:rPr>
          <w:rFonts w:ascii="Times New Roman;serif" w:hAnsi="Times New Roman;serif"/>
          <w:b w:val="false"/>
          <w:color w:val="000000"/>
          <w:sz w:val="22"/>
        </w:rPr>
        <w:t xml:space="preserve">upon conversion of the Debt Securities, including the execution, delivery and performance of an indenture (the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8, 2026</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06400"/>
                <wp:effectExtent l="0" t="0" r="0" b="0"/>
                <wp:wrapNone/>
                <wp:docPr id="104" name="Frame97"/>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2924175" cy="342900"/>
                                  <wp:effectExtent l="0" t="0" r="0" b="0"/>
                                  <wp:docPr id="10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 descr=""/>
                                          <pic:cNvPicPr>
                                            <a:picLocks noChangeAspect="1" noChangeArrowheads="1"/>
                                          </pic:cNvPicPr>
                                        </pic:nvPicPr>
                                        <pic:blipFill>
                                          <a:blip r:embed="rId26"/>
                                          <a:stretch>
                                            <a:fillRect/>
                                          </a:stretch>
                                        </pic:blipFill>
                                        <pic:spPr bwMode="auto">
                                          <a:xfrm>
                                            <a:off x="0" y="0"/>
                                            <a:ext cx="2924175" cy="3429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924175" cy="342900"/>
                            <wp:effectExtent l="0" t="0" r="0" b="0"/>
                            <wp:docPr id="10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 descr=""/>
                                    <pic:cNvPicPr>
                                      <a:picLocks noChangeAspect="1" noChangeArrowheads="1"/>
                                    </pic:cNvPicPr>
                                  </pic:nvPicPr>
                                  <pic:blipFill>
                                    <a:blip r:embed="rId27"/>
                                    <a:stretch>
                                      <a:fillRect/>
                                    </a:stretch>
                                  </pic:blipFill>
                                  <pic:spPr bwMode="auto">
                                    <a:xfrm>
                                      <a:off x="0" y="0"/>
                                      <a:ext cx="2924175" cy="3429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5</w:t>
      </w:r>
    </w:p>
    <w:p>
      <w:pPr>
        <w:pStyle w:val="TextBody"/>
        <w:bidi w:val="0"/>
        <w:spacing w:lineRule="auto" w:line="288" w:before="0" w:after="240"/>
        <w:jc w:val="both"/>
        <w:rPr/>
      </w:pPr>
      <w:r>
        <w:rPr>
          <w:color w:val="000000"/>
        </w:rPr>
        <w:t>“</w:t>
      </w:r>
      <w:r>
        <w:rPr>
          <w:rFonts w:ascii="Times New Roman;serif" w:hAnsi="Times New Roman;serif"/>
          <w:b/>
          <w:color w:val="000000"/>
          <w:sz w:val="22"/>
        </w:rPr>
        <w:t>Indenture</w:t>
      </w:r>
      <w:r>
        <w:rPr>
          <w:color w:val="000000"/>
        </w:rPr>
        <w:t>”</w:t>
      </w:r>
      <w:r>
        <w:rPr>
          <w:rFonts w:ascii="Times New Roman;serif" w:hAnsi="Times New Roman;serif"/>
          <w:b w:val="false"/>
          <w:color w:val="000000"/>
          <w:sz w:val="22"/>
        </w:rPr>
        <w:t xml:space="preserve">) and a supplemental indenture or officer’s certificate establishing the form and terms of such series of Debt Securities as contemplated by the Indenture, have been duly authorized by the Board, (b) the Registration Statement (including any necessary post-effective amendments) has become effective under the Securities Act, (c) a prospectus supplement with respect to the sale of such Debt Securities and the requisite number of shares of Common Stock or Preferred Stock, as the case may be, </w:t>
      </w:r>
      <w:r>
        <w:rPr>
          <w:rFonts w:ascii="Times New Roman;serif" w:hAnsi="Times New Roman;serif"/>
          <w:b w:val="false"/>
          <w:color w:val="000000"/>
          <w:sz w:val="24"/>
        </w:rPr>
        <w:t xml:space="preserve">issuable </w:t>
      </w:r>
      <w:r>
        <w:rPr>
          <w:rFonts w:ascii="Times New Roman;serif" w:hAnsi="Times New Roman;serif"/>
          <w:b w:val="false"/>
          <w:color w:val="000000"/>
          <w:sz w:val="22"/>
        </w:rPr>
        <w:t xml:space="preserve">upon conversion of the Debt Securities shall have been filed with the Commission in compliance with the Securities Act and the rules and regulations thereunder, (d) the Indenture relating to such Debt Securities, including a supplemental indenture or officer’s certificate establishing the form and terms of such series of Debt Securities, has been qualified under the Trust Indenture Act of 1939, as amended, and duly authorized, executed and delivered by the Company and the trustee named therein, (e) the terms of such Debt Securities and of their issuance have been duly established in conformity with the resolutions of the Board, the Articles of Incorporation, and the Indenture, which terms do not violate any applicable law or result in a default under or breach of any agreement or instrument binding upon the Company and comply with any requirement or restriction imposed by any court or government body having jurisdiction over the Company, and (f) such Debt Securities have been duly executed and countersigned in accordance with the Indenture and duly issued and sold as contemplated by the Registration Statement and the prospectus supplement and consideration therefor has been received by the Company, the shares of Common Stock or Preferred Stock, as the case may be, </w:t>
      </w:r>
      <w:r>
        <w:rPr>
          <w:rFonts w:ascii="Times New Roman;serif" w:hAnsi="Times New Roman;serif"/>
          <w:b w:val="false"/>
          <w:color w:val="000000"/>
          <w:sz w:val="24"/>
        </w:rPr>
        <w:t xml:space="preserve">issuable </w:t>
      </w:r>
      <w:r>
        <w:rPr>
          <w:rFonts w:ascii="Times New Roman;serif" w:hAnsi="Times New Roman;serif"/>
          <w:b w:val="false"/>
          <w:color w:val="000000"/>
          <w:sz w:val="22"/>
        </w:rPr>
        <w:t>upon conversion of the Debt Securities will be duly authorized for issuance by the Company.</w:t>
      </w:r>
    </w:p>
    <w:p>
      <w:pPr>
        <w:pStyle w:val="TextBody"/>
        <w:bidi w:val="0"/>
        <w:spacing w:lineRule="auto" w:line="288" w:before="0" w:after="120"/>
        <w:ind w:left="0" w:right="0" w:firstLine="720"/>
        <w:jc w:val="both"/>
        <w:rPr/>
      </w:pPr>
      <w:r>
        <w:rPr>
          <w:rFonts w:ascii="Times New Roman;serif" w:hAnsi="Times New Roman;serif"/>
          <w:b w:val="false"/>
          <w:color w:val="000000"/>
          <w:sz w:val="22"/>
        </w:rPr>
        <w:t>The opinions set forth herein are limited to laws of the State of Nevada that are normally applicable to the shares of Common Stock and Preferred Stock covered by the Registration Statement and, to the extent that judicial or regulatory orders or decrees or consents, approvals, licenses, authorizations, validations, filings, recordings or registrations with governmental authorities are relevant, to those required under such laws (all of the foregoing being referred to as “</w:t>
      </w:r>
      <w:r>
        <w:rPr>
          <w:rFonts w:ascii="Times New Roman;serif" w:hAnsi="Times New Roman;serif"/>
          <w:b/>
          <w:color w:val="000000"/>
          <w:sz w:val="22"/>
        </w:rPr>
        <w:t>Opined on Law</w:t>
      </w:r>
      <w:r>
        <w:rPr>
          <w:color w:val="000000"/>
        </w:rPr>
        <w:t>”</w:t>
      </w:r>
      <w:r>
        <w:rPr>
          <w:rFonts w:ascii="Times New Roman;serif" w:hAnsi="Times New Roman;serif"/>
          <w:b w:val="false"/>
          <w:color w:val="000000"/>
          <w:sz w:val="22"/>
        </w:rPr>
        <w:t>). I do not express any opinion with respect to the law of any jurisdiction other than Opined on Law or as to the effect of the law of any jurisdiction other than the Opined on Law on the opinions stated herein.</w:t>
      </w:r>
    </w:p>
    <w:p>
      <w:pPr>
        <w:pStyle w:val="TextBody"/>
        <w:bidi w:val="0"/>
        <w:spacing w:lineRule="auto" w:line="28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hereby consent to the filing of this opinion as an exhibit to the Registration Statement referred to above. In giving this consent, I do not admit that I am in the category of persons whose consent is required under Section 7 of the Securities 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May 8, 2026</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06400"/>
                <wp:effectExtent l="0" t="0" r="0" b="0"/>
                <wp:wrapNone/>
                <wp:docPr id="107" name="Frame98"/>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2924175" cy="342900"/>
                                  <wp:effectExtent l="0" t="0" r="0" b="0"/>
                                  <wp:docPr id="10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 descr=""/>
                                          <pic:cNvPicPr>
                                            <a:picLocks noChangeAspect="1" noChangeArrowheads="1"/>
                                          </pic:cNvPicPr>
                                        </pic:nvPicPr>
                                        <pic:blipFill>
                                          <a:blip r:embed="rId28"/>
                                          <a:stretch>
                                            <a:fillRect/>
                                          </a:stretch>
                                        </pic:blipFill>
                                        <pic:spPr bwMode="auto">
                                          <a:xfrm>
                                            <a:off x="0" y="0"/>
                                            <a:ext cx="2924175" cy="342900"/>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drawing>
                          <wp:inline distT="0" distB="0" distL="0" distR="0">
                            <wp:extent cx="2924175" cy="342900"/>
                            <wp:effectExtent l="0" t="0" r="0" b="0"/>
                            <wp:docPr id="10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 descr=""/>
                                    <pic:cNvPicPr>
                                      <a:picLocks noChangeAspect="1" noChangeArrowheads="1"/>
                                    </pic:cNvPicPr>
                                  </pic:nvPicPr>
                                  <pic:blipFill>
                                    <a:blip r:embed="rId29"/>
                                    <a:stretch>
                                      <a:fillRect/>
                                    </a:stretch>
                                  </pic:blipFill>
                                  <pic:spPr bwMode="auto">
                                    <a:xfrm>
                                      <a:off x="0" y="0"/>
                                      <a:ext cx="2924175" cy="342900"/>
                                    </a:xfrm>
                                    <a:prstGeom prst="rect">
                                      <a:avLst/>
                                    </a:prstGeom>
                                  </pic:spPr>
                                </pic:pic>
                              </a:graphicData>
                            </a:graphic>
                          </wp:inline>
                        </w:drawing>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Page 6</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This opinion is rendered solely to you in connection with the above matter. This opinion may not be relied upon by you for any other purpose or relied upon by or furnished to any other person without my prior written consent.</w:t>
      </w:r>
    </w:p>
    <w:tbl>
      <w:tblPr>
        <w:tblW w:w="3944" w:type="dxa"/>
        <w:jc w:val="right"/>
        <w:tblInd w:w="0" w:type="dxa"/>
        <w:tblLayout w:type="fixed"/>
        <w:tblCellMar>
          <w:top w:w="28" w:type="dxa"/>
          <w:left w:w="28" w:type="dxa"/>
          <w:bottom w:w="28" w:type="dxa"/>
          <w:right w:w="28" w:type="dxa"/>
        </w:tblCellMar>
      </w:tblPr>
      <w:tblGrid>
        <w:gridCol w:w="1262"/>
        <w:gridCol w:w="1107"/>
        <w:gridCol w:w="1575"/>
      </w:tblGrid>
      <w:tr>
        <w:trPr/>
        <w:tc>
          <w:tcPr>
            <w:tcW w:w="126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Mary Lynn C. Newman</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Mary Lynn C. Newman, Esq.</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Vice President, Deputy General Counsel</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5.2</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06400"/>
                <wp:effectExtent l="0" t="0" r="0" b="0"/>
                <wp:wrapNone/>
                <wp:docPr id="110" name="Frame99"/>
                <a:graphic xmlns:a="http://schemas.openxmlformats.org/drawingml/2006/main">
                  <a:graphicData uri="http://schemas.microsoft.com/office/word/2010/wordprocessingShape">
                    <wps:wsp>
                      <wps:cNvSpPr txBox="1"/>
                      <wps:spPr>
                        <a:xfrm>
                          <a:off x="0" y="0"/>
                          <a:ext cx="6480175" cy="406400"/>
                        </a:xfrm>
                        <a:prstGeom prst="rect"/>
                        <a:solidFill>
                          <a:srgbClr val="FFFFFF"/>
                        </a:solidFill>
                      </wps:spPr>
                      <wps:txbx>
                        <w:txbxContent>
                          <w:p>
                            <w:pPr>
                              <w:pStyle w:val="TextBody"/>
                              <w:bidi w:val="0"/>
                              <w:spacing w:before="0" w:after="0"/>
                              <w:jc w:val="right"/>
                              <w:rPr/>
                            </w:pPr>
                            <w:r>
                              <w:rPr/>
                              <w:drawing>
                                <wp:inline distT="0" distB="0" distL="0" distR="0">
                                  <wp:extent cx="2924175" cy="342900"/>
                                  <wp:effectExtent l="0" t="0" r="0" b="0"/>
                                  <wp:docPr id="1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 descr=""/>
                                          <pic:cNvPicPr>
                                            <a:picLocks noChangeAspect="1" noChangeArrowheads="1"/>
                                          </pic:cNvPicPr>
                                        </pic:nvPicPr>
                                        <pic:blipFill>
                                          <a:blip r:embed="rId30"/>
                                          <a:stretch>
                                            <a:fillRect/>
                                          </a:stretch>
                                        </pic:blipFill>
                                        <pic:spPr bwMode="auto">
                                          <a:xfrm>
                                            <a:off x="0" y="0"/>
                                            <a:ext cx="2924175" cy="342900"/>
                                          </a:xfrm>
                                          <a:prstGeom prst="rect">
                                            <a:avLst/>
                                          </a:prstGeom>
                                        </pic:spPr>
                                      </pic:pic>
                                    </a:graphicData>
                                  </a:graphic>
                                </wp:inline>
                              </w:drawing>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2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before="0" w:after="0"/>
                        <w:jc w:val="right"/>
                        <w:rPr/>
                      </w:pPr>
                      <w:r>
                        <w:rPr/>
                        <w:drawing>
                          <wp:inline distT="0" distB="0" distL="0" distR="0">
                            <wp:extent cx="2924175" cy="342900"/>
                            <wp:effectExtent l="0" t="0" r="0" b="0"/>
                            <wp:docPr id="1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 descr=""/>
                                    <pic:cNvPicPr>
                                      <a:picLocks noChangeAspect="1" noChangeArrowheads="1"/>
                                    </pic:cNvPicPr>
                                  </pic:nvPicPr>
                                  <pic:blipFill>
                                    <a:blip r:embed="rId31"/>
                                    <a:stretch>
                                      <a:fillRect/>
                                    </a:stretch>
                                  </pic:blipFill>
                                  <pic:spPr bwMode="auto">
                                    <a:xfrm>
                                      <a:off x="0" y="0"/>
                                      <a:ext cx="2924175" cy="342900"/>
                                    </a:xfrm>
                                    <a:prstGeom prst="rect">
                                      <a:avLst/>
                                    </a:prstGeom>
                                  </pic:spPr>
                                </pic:pic>
                              </a:graphicData>
                            </a:graphic>
                          </wp:inline>
                        </w:drawing>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819"/>
        <w:gridCol w:w="720"/>
        <w:gridCol w:w="722"/>
        <w:gridCol w:w="927"/>
        <w:gridCol w:w="927"/>
        <w:gridCol w:w="1311"/>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314325"/>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32"/>
                          <a:stretch>
                            <a:fillRect/>
                          </a:stretch>
                        </pic:blipFill>
                        <pic:spPr bwMode="auto">
                          <a:xfrm>
                            <a:off x="0" y="0"/>
                            <a:ext cx="1371600" cy="314325"/>
                          </a:xfrm>
                          <a:prstGeom prst="rect">
                            <a:avLst/>
                          </a:prstGeom>
                        </pic:spPr>
                      </pic:pic>
                    </a:graphicData>
                  </a:graphic>
                </wp:inline>
              </w:drawing>
            </w:r>
          </w:p>
        </w:tc>
        <w:tc>
          <w:tcPr>
            <w:tcW w:w="3165"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3"/>
              </w:rPr>
            </w:pPr>
            <w:r>
              <w:rPr>
                <w:rFonts w:ascii="Arial;sans-serif" w:hAnsi="Arial;sans-serif"/>
                <w:b w:val="false"/>
                <w:color w:val="000000"/>
                <w:sz w:val="13"/>
              </w:rPr>
              <w:t xml:space="preserve">SIDLEY AUSTIN LLP </w:t>
            </w:r>
          </w:p>
          <w:p>
            <w:pPr>
              <w:pStyle w:val="TableContents"/>
              <w:bidi w:val="0"/>
              <w:spacing w:lineRule="auto" w:line="288" w:before="0" w:after="60"/>
              <w:jc w:val="left"/>
              <w:rPr>
                <w:rFonts w:ascii="Arial;sans-serif" w:hAnsi="Arial;sans-serif"/>
                <w:b w:val="false"/>
                <w:color w:val="000000"/>
                <w:sz w:val="13"/>
              </w:rPr>
            </w:pPr>
            <w:r>
              <w:rPr>
                <w:rFonts w:ascii="Arial;sans-serif" w:hAnsi="Arial;sans-serif"/>
                <w:b w:val="false"/>
                <w:color w:val="000000"/>
                <w:sz w:val="13"/>
              </w:rPr>
              <w:t xml:space="preserve">1501 K STREET, N.W. </w:t>
            </w:r>
          </w:p>
          <w:p>
            <w:pPr>
              <w:pStyle w:val="TableContents"/>
              <w:bidi w:val="0"/>
              <w:spacing w:lineRule="auto" w:line="288" w:before="0" w:after="60"/>
              <w:jc w:val="left"/>
              <w:rPr>
                <w:rFonts w:ascii="Arial;sans-serif" w:hAnsi="Arial;sans-serif"/>
                <w:b w:val="false"/>
                <w:color w:val="000000"/>
                <w:sz w:val="13"/>
              </w:rPr>
            </w:pPr>
            <w:r>
              <w:rPr>
                <w:rFonts w:ascii="Arial;sans-serif" w:hAnsi="Arial;sans-serif"/>
                <w:b w:val="false"/>
                <w:color w:val="000000"/>
                <w:sz w:val="13"/>
              </w:rPr>
              <w:t xml:space="preserve">WASHINGTON, DISTRICT OF COLUMBIA 20005 </w:t>
            </w:r>
          </w:p>
          <w:p>
            <w:pPr>
              <w:pStyle w:val="TableContents"/>
              <w:bidi w:val="0"/>
              <w:spacing w:lineRule="auto" w:line="288" w:before="0" w:after="60"/>
              <w:jc w:val="left"/>
              <w:rPr>
                <w:rFonts w:ascii="Arial;sans-serif" w:hAnsi="Arial;sans-serif"/>
                <w:b w:val="false"/>
                <w:color w:val="000000"/>
                <w:sz w:val="13"/>
              </w:rPr>
            </w:pPr>
            <w:r>
              <w:rPr>
                <w:rFonts w:ascii="Arial;sans-serif" w:hAnsi="Arial;sans-serif"/>
                <w:b w:val="false"/>
                <w:color w:val="000000"/>
                <w:sz w:val="13"/>
              </w:rPr>
              <w:t xml:space="preserve">+1 202 736 8000 </w:t>
            </w:r>
          </w:p>
          <w:p>
            <w:pPr>
              <w:pStyle w:val="TableContents"/>
              <w:bidi w:val="0"/>
              <w:spacing w:lineRule="auto" w:line="288" w:before="0" w:after="60"/>
              <w:jc w:val="left"/>
              <w:rPr>
                <w:rFonts w:ascii="Arial;sans-serif" w:hAnsi="Arial;sans-serif"/>
                <w:b w:val="false"/>
                <w:color w:val="000000"/>
                <w:sz w:val="13"/>
              </w:rPr>
            </w:pPr>
            <w:r>
              <w:rPr>
                <w:rFonts w:ascii="Arial;sans-serif" w:hAnsi="Arial;sans-serif"/>
                <w:b w:val="false"/>
                <w:color w:val="000000"/>
                <w:sz w:val="13"/>
              </w:rPr>
              <w:t>+1 202 736 8711 FAX</w:t>
            </w:r>
          </w:p>
        </w:tc>
      </w:tr>
    </w:tbl>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5340 Kietzke Lane, Suite 202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Reno, Nevada 89511</w:t>
      </w:r>
    </w:p>
    <w:p>
      <w:pPr>
        <w:pStyle w:val="TextBody"/>
        <w:bidi w:val="0"/>
        <w:spacing w:lineRule="auto" w:line="288" w:before="0" w:after="120"/>
        <w:ind w:left="0" w:right="0" w:hanging="720"/>
        <w:jc w:val="left"/>
        <w:rPr/>
      </w:pPr>
      <w:r>
        <w:rPr>
          <w:rFonts w:ascii="Times New Roman;serif" w:hAnsi="Times New Roman;serif"/>
          <w:b w:val="false"/>
          <w:color w:val="000000"/>
          <w:sz w:val="24"/>
        </w:rPr>
        <w:t>Re:    </w:t>
      </w:r>
      <w:r>
        <w:rPr>
          <w:rFonts w:ascii="Times New Roman;serif" w:hAnsi="Times New Roman;serif"/>
          <w:b w:val="false"/>
          <w:color w:val="000000"/>
          <w:sz w:val="24"/>
          <w:u w:val="single"/>
        </w:rPr>
        <w:t>Registration Statement on Form S-3</w:t>
      </w:r>
      <w:r>
        <w:rPr>
          <w:color w:val="000000"/>
        </w:rPr>
        <w:t xml:space="preserve"> </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120"/>
        <w:ind w:left="0" w:right="0" w:firstLine="1440"/>
        <w:jc w:val="left"/>
        <w:rPr/>
      </w:pPr>
      <w:r>
        <w:rPr>
          <w:rFonts w:ascii="Times New Roman;serif" w:hAnsi="Times New Roman;serif"/>
          <w:b w:val="false"/>
          <w:color w:val="000000"/>
          <w:sz w:val="24"/>
        </w:rPr>
        <w:t>We refer to the Registration Statement on Form S-3 (the “</w:t>
      </w:r>
      <w:r>
        <w:rPr>
          <w:rFonts w:ascii="Times New Roman;serif" w:hAnsi="Times New Roman;serif"/>
          <w:b w:val="false"/>
          <w:color w:val="000000"/>
          <w:sz w:val="24"/>
          <w:u w:val="single"/>
        </w:rPr>
        <w:t>Registration</w:t>
      </w:r>
      <w:r>
        <w:rPr>
          <w:color w:val="000000"/>
        </w:rPr>
        <w:t xml:space="preserve"> </w:t>
      </w:r>
      <w:r>
        <w:rPr>
          <w:rFonts w:ascii="Times New Roman;serif" w:hAnsi="Times New Roman;serif"/>
          <w:b w:val="false"/>
          <w:color w:val="000000"/>
          <w:sz w:val="24"/>
          <w:u w:val="single"/>
        </w:rPr>
        <w:t>Statement</w:t>
      </w:r>
      <w:r>
        <w:rPr>
          <w:color w:val="000000"/>
        </w:rPr>
        <w:t>”</w:t>
      </w:r>
      <w:r>
        <w:rPr>
          <w:rFonts w:ascii="Times New Roman;serif" w:hAnsi="Times New Roman;serif"/>
          <w:b w:val="false"/>
          <w:color w:val="000000"/>
          <w:sz w:val="24"/>
        </w:rPr>
        <w:t>) being filed by Employers Holdings, Inc., a Nevada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with the Securities and Exchange Commission (the “</w:t>
      </w:r>
      <w:r>
        <w:rPr>
          <w:rFonts w:ascii="Times New Roman;serif" w:hAnsi="Times New Roman;serif"/>
          <w:b w:val="false"/>
          <w:color w:val="000000"/>
          <w:sz w:val="24"/>
          <w:u w:val="single"/>
        </w:rPr>
        <w:t>SEC</w:t>
      </w:r>
      <w:r>
        <w:rPr>
          <w:color w:val="000000"/>
        </w:rPr>
        <w:t>”</w:t>
      </w:r>
      <w:r>
        <w:rPr>
          <w:rFonts w:ascii="Times New Roman;serif" w:hAnsi="Times New Roman;serif"/>
          <w:b w:val="false"/>
          <w:color w:val="000000"/>
          <w:sz w:val="24"/>
        </w:rPr>
        <w:t>) under the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relating to the registration of an unlimited amount of:</w:t>
      </w:r>
    </w:p>
    <w:p>
      <w:pPr>
        <w:pStyle w:val="TextBody"/>
        <w:bidi w:val="0"/>
        <w:spacing w:lineRule="auto" w:line="288" w:before="0" w:after="120"/>
        <w:ind w:left="0" w:right="0" w:firstLine="720"/>
        <w:jc w:val="left"/>
        <w:rPr/>
      </w:pPr>
      <w:r>
        <w:rPr>
          <w:rFonts w:ascii="Times New Roman;serif" w:hAnsi="Times New Roman;serif"/>
          <w:b w:val="false"/>
          <w:color w:val="000000"/>
          <w:sz w:val="24"/>
        </w:rPr>
        <w:t>(i)    shares of the Company’s common stock, $0.01 par value per share (the “</w:t>
      </w:r>
      <w:r>
        <w:rPr>
          <w:rFonts w:ascii="Times New Roman;serif" w:hAnsi="Times New Roman;serif"/>
          <w:b w:val="false"/>
          <w:color w:val="000000"/>
          <w:sz w:val="24"/>
          <w:u w:val="single"/>
        </w:rPr>
        <w:t>Common</w:t>
      </w:r>
      <w:r>
        <w:rPr>
          <w:color w:val="000000"/>
        </w:rPr>
        <w:t xml:space="preserve"> </w:t>
      </w:r>
      <w:r>
        <w:rPr>
          <w:rFonts w:ascii="Times New Roman;serif" w:hAnsi="Times New Roman;serif"/>
          <w:b w:val="false"/>
          <w:color w:val="000000"/>
          <w:sz w:val="24"/>
          <w:u w:val="single"/>
        </w:rPr>
        <w:t>Stock</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left"/>
        <w:rPr/>
      </w:pPr>
      <w:r>
        <w:rPr>
          <w:rFonts w:ascii="Times New Roman;serif" w:hAnsi="Times New Roman;serif"/>
          <w:b w:val="false"/>
          <w:color w:val="000000"/>
          <w:sz w:val="24"/>
        </w:rPr>
        <w:t>(ii)    shares of the Company’s preferred stock, $0.01 par value per share (the “</w:t>
      </w:r>
      <w:r>
        <w:rPr>
          <w:rFonts w:ascii="Times New Roman;serif" w:hAnsi="Times New Roman;serif"/>
          <w:b w:val="false"/>
          <w:color w:val="000000"/>
          <w:sz w:val="24"/>
          <w:u w:val="single"/>
        </w:rPr>
        <w:t>Preferred</w:t>
      </w:r>
      <w:r>
        <w:rPr>
          <w:color w:val="000000"/>
        </w:rPr>
        <w:t xml:space="preserve"> </w:t>
      </w:r>
      <w:r>
        <w:rPr>
          <w:rFonts w:ascii="Times New Roman;serif" w:hAnsi="Times New Roman;serif"/>
          <w:b w:val="false"/>
          <w:color w:val="000000"/>
          <w:sz w:val="24"/>
          <w:u w:val="single"/>
        </w:rPr>
        <w:t>Stock</w:t>
      </w:r>
      <w:r>
        <w:rPr>
          <w:color w:val="000000"/>
        </w:rPr>
        <w:t>”</w:t>
      </w:r>
      <w:r>
        <w:rPr>
          <w:rFonts w:ascii="Times New Roman;serif" w:hAnsi="Times New Roman;serif"/>
          <w:b w:val="false"/>
          <w:color w:val="000000"/>
          <w:sz w:val="24"/>
        </w:rPr>
        <w:t>), which may be represented by depositary shares (the “</w:t>
      </w:r>
      <w:r>
        <w:rPr>
          <w:rFonts w:ascii="Times New Roman;serif" w:hAnsi="Times New Roman;serif"/>
          <w:b w:val="false"/>
          <w:color w:val="000000"/>
          <w:sz w:val="24"/>
          <w:u w:val="single"/>
        </w:rPr>
        <w:t>Depositary Shares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left"/>
        <w:rPr/>
      </w:pPr>
      <w:r>
        <w:rPr>
          <w:rFonts w:ascii="Times New Roman;serif" w:hAnsi="Times New Roman;serif"/>
          <w:b w:val="false"/>
          <w:color w:val="000000"/>
          <w:sz w:val="24"/>
        </w:rPr>
        <w:t>(iii)    one or more series of debt securities of the Company (the “</w:t>
      </w:r>
      <w:r>
        <w:rPr>
          <w:rFonts w:ascii="Times New Roman;serif" w:hAnsi="Times New Roman;serif"/>
          <w:b w:val="false"/>
          <w:color w:val="000000"/>
          <w:sz w:val="24"/>
          <w:u w:val="single"/>
        </w:rPr>
        <w:t>Debt Securities</w:t>
      </w:r>
      <w:r>
        <w:rPr>
          <w:color w:val="000000"/>
        </w:rPr>
        <w:t>”</w:t>
      </w:r>
      <w:r>
        <w:rPr>
          <w:rFonts w:ascii="Times New Roman;serif" w:hAnsi="Times New Roman;serif"/>
          <w:b w:val="false"/>
          <w:color w:val="000000"/>
          <w:sz w:val="24"/>
        </w:rPr>
        <w:t>), which may be unsecured senior debt securities (the “</w:t>
      </w:r>
      <w:r>
        <w:rPr>
          <w:rFonts w:ascii="Times New Roman;serif" w:hAnsi="Times New Roman;serif"/>
          <w:b w:val="false"/>
          <w:color w:val="000000"/>
          <w:sz w:val="24"/>
          <w:u w:val="single"/>
        </w:rPr>
        <w:t>Senior Debt Securities</w:t>
      </w:r>
      <w:r>
        <w:rPr>
          <w:color w:val="000000"/>
        </w:rPr>
        <w:t>”</w:t>
      </w:r>
      <w:r>
        <w:rPr>
          <w:rFonts w:ascii="Times New Roman;serif" w:hAnsi="Times New Roman;serif"/>
          <w:b w:val="false"/>
          <w:color w:val="000000"/>
          <w:sz w:val="24"/>
        </w:rPr>
        <w:t>) and/or unsecured subordinated debt securities (the “</w:t>
      </w:r>
      <w:r>
        <w:rPr>
          <w:rFonts w:ascii="Times New Roman;serif" w:hAnsi="Times New Roman;serif"/>
          <w:b w:val="false"/>
          <w:color w:val="000000"/>
          <w:sz w:val="24"/>
          <w:u w:val="single"/>
        </w:rPr>
        <w:t>Subordinated Debt Securities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left"/>
        <w:rPr/>
      </w:pPr>
      <w:r>
        <w:rPr>
          <w:rFonts w:ascii="Times New Roman;serif" w:hAnsi="Times New Roman;serif"/>
          <w:b w:val="false"/>
          <w:color w:val="000000"/>
          <w:sz w:val="24"/>
        </w:rPr>
        <w:t>(iv)    warrants to purchase Common Stock, Preferred Stock, Depositary Shares, or Debt Securities (the “</w:t>
      </w:r>
      <w:r>
        <w:rPr>
          <w:rFonts w:ascii="Times New Roman;serif" w:hAnsi="Times New Roman;serif"/>
          <w:b w:val="false"/>
          <w:color w:val="000000"/>
          <w:sz w:val="24"/>
          <w:u w:val="single"/>
        </w:rPr>
        <w:t>Warrants</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left"/>
        <w:rPr/>
      </w:pPr>
      <w:r>
        <w:rPr>
          <w:rFonts w:ascii="Times New Roman;serif" w:hAnsi="Times New Roman;serif"/>
          <w:b w:val="false"/>
          <w:color w:val="000000"/>
          <w:sz w:val="24"/>
        </w:rPr>
        <w:t>(v)    purchase contracts (the “</w:t>
      </w:r>
      <w:r>
        <w:rPr>
          <w:rFonts w:ascii="Times New Roman;serif" w:hAnsi="Times New Roman;serif"/>
          <w:b w:val="false"/>
          <w:color w:val="000000"/>
          <w:sz w:val="24"/>
          <w:u w:val="single"/>
        </w:rPr>
        <w:t>Purchase Contracts</w:t>
      </w:r>
      <w:r>
        <w:rPr>
          <w:color w:val="000000"/>
        </w:rPr>
        <w:t>”</w:t>
      </w:r>
      <w:r>
        <w:rPr>
          <w:rFonts w:ascii="Times New Roman;serif" w:hAnsi="Times New Roman;serif"/>
          <w:b w:val="false"/>
          <w:color w:val="000000"/>
          <w:sz w:val="24"/>
        </w:rPr>
        <w:t>), entitling or obligating the holders thereof to purchase from or sell to the Company and the Company to sell to or purchase from the holders thereof, Common Stock, Preferred Stock, or Depositary Shares at a future date or dates; and</w:t>
      </w:r>
    </w:p>
    <w:p>
      <w:pPr>
        <w:pStyle w:val="TextBody"/>
        <w:bidi w:val="0"/>
        <w:spacing w:lineRule="auto" w:line="288" w:before="0" w:after="120"/>
        <w:ind w:left="0" w:right="0" w:firstLine="720"/>
        <w:jc w:val="left"/>
        <w:rPr/>
      </w:pPr>
      <w:r>
        <w:rPr>
          <w:rFonts w:ascii="Times New Roman;serif" w:hAnsi="Times New Roman;serif"/>
          <w:b w:val="false"/>
          <w:color w:val="000000"/>
          <w:sz w:val="24"/>
        </w:rPr>
        <w:t>(vi)    purchase units (the “</w:t>
      </w:r>
      <w:r>
        <w:rPr>
          <w:rFonts w:ascii="Times New Roman;serif" w:hAnsi="Times New Roman;serif"/>
          <w:b w:val="false"/>
          <w:color w:val="000000"/>
          <w:sz w:val="24"/>
          <w:u w:val="single"/>
        </w:rPr>
        <w:t>Purchase Units</w:t>
      </w:r>
      <w:r>
        <w:rPr>
          <w:color w:val="000000"/>
        </w:rPr>
        <w:t>”</w:t>
      </w:r>
      <w:r>
        <w:rPr>
          <w:rFonts w:ascii="Times New Roman;serif" w:hAnsi="Times New Roman;serif"/>
          <w:b w:val="false"/>
          <w:color w:val="000000"/>
          <w:sz w:val="24"/>
        </w:rPr>
        <w:t>), each representing ownership of a Purchase Contract and beneficial interests in Debt Securities, debt obligations of third parties, including U.S. treasury securities, or any other securities described in the applicable prospectus supplement or any combination of the foregoing.</w:t>
      </w:r>
    </w:p>
    <w:p>
      <w:pPr>
        <w:pStyle w:val="TextBody"/>
        <w:bidi w:val="0"/>
        <w:spacing w:lineRule="auto" w:line="288" w:before="0" w:after="240"/>
        <w:jc w:val="left"/>
        <w:rPr/>
      </w:pPr>
      <w:r>
        <w:rPr>
          <w:rFonts w:ascii="Times New Roman;serif" w:hAnsi="Times New Roman;serif"/>
          <w:b w:val="false"/>
          <w:color w:val="000000"/>
          <w:sz w:val="24"/>
        </w:rPr>
        <w:t>The Common Stock, the Preferred Stock, the Depositary Shares, the Debt Securities, the Warrants, the Purchase Contracts, and the Purchase Units, are collectively referred to herein as the “</w:t>
      </w:r>
      <w:r>
        <w:rPr>
          <w:rFonts w:ascii="Times New Roman;serif" w:hAnsi="Times New Roman;serif"/>
          <w:b w:val="false"/>
          <w:color w:val="000000"/>
          <w:sz w:val="24"/>
          <w:u w:val="single"/>
        </w:rPr>
        <w:t>Securities</w:t>
      </w:r>
      <w:r>
        <w:rPr>
          <w:rFonts w:ascii="Times New Roman;serif" w:hAnsi="Times New Roman;serif"/>
          <w:b w:val="false"/>
          <w:color w:val="000000"/>
          <w:sz w:val="24"/>
        </w:rPr>
        <w:t>.”</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Unless otherwise specified in the applicable prospectus supplement: </w:t>
      </w:r>
    </w:p>
    <w:p>
      <w:pPr>
        <w:pStyle w:val="TextBody"/>
        <w:bidi w:val="0"/>
        <w:spacing w:lineRule="auto" w:line="288" w:before="0" w:after="120"/>
        <w:ind w:left="0" w:right="0" w:firstLine="720"/>
        <w:jc w:val="left"/>
        <w:rPr/>
      </w:pPr>
      <w:r>
        <w:rPr>
          <w:rFonts w:ascii="Times New Roman;serif" w:hAnsi="Times New Roman;serif"/>
          <w:b w:val="false"/>
          <w:color w:val="000000"/>
          <w:sz w:val="24"/>
        </w:rPr>
        <w:t>(1)    the Depositary Shares will be issued under a deposit agreement (a “</w:t>
      </w:r>
      <w:r>
        <w:rPr>
          <w:rFonts w:ascii="Times New Roman;serif" w:hAnsi="Times New Roman;serif"/>
          <w:b w:val="false"/>
          <w:color w:val="000000"/>
          <w:sz w:val="24"/>
          <w:u w:val="single"/>
        </w:rPr>
        <w:t>Deposit</w:t>
      </w:r>
      <w:r>
        <w:rPr>
          <w:color w:val="000000"/>
        </w:rPr>
        <w:t xml:space="preserv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between the Company and a depositary agent (the “</w:t>
      </w:r>
      <w:r>
        <w:rPr>
          <w:rFonts w:ascii="Times New Roman;serif" w:hAnsi="Times New Roman;serif"/>
          <w:b w:val="false"/>
          <w:color w:val="000000"/>
          <w:sz w:val="24"/>
          <w:u w:val="single"/>
        </w:rPr>
        <w:t>Depositary Agent</w:t>
      </w:r>
      <w:r>
        <w:rPr>
          <w:color w:val="000000"/>
        </w:rPr>
        <w:t>”</w:t>
      </w:r>
      <w:r>
        <w:rPr>
          <w:rFonts w:ascii="Times New Roman;serif" w:hAnsi="Times New Roman;serif"/>
          <w:b w:val="false"/>
          <w:color w:val="000000"/>
          <w:sz w:val="24"/>
        </w:rPr>
        <w:t xml:space="preserve">); </w:t>
      </w:r>
    </w:p>
    <w:p>
      <w:pPr>
        <w:pStyle w:val="TextBody"/>
        <w:bidi w:val="0"/>
        <w:spacing w:before="0" w:after="240"/>
        <w:jc w:val="left"/>
        <w:rPr/>
      </w:pPr>
      <w:r>
        <w:rPr/>
        <w:drawing>
          <wp:inline distT="0" distB="0" distL="0" distR="0">
            <wp:extent cx="1371600" cy="314325"/>
            <wp:effectExtent l="0" t="0" r="0" b="0"/>
            <wp:docPr id="1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 descr=""/>
                    <pic:cNvPicPr>
                      <a:picLocks noChangeAspect="1" noChangeArrowheads="1"/>
                    </pic:cNvPicPr>
                  </pic:nvPicPr>
                  <pic:blipFill>
                    <a:blip r:embed="rId33"/>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0645"/>
                <wp:effectExtent l="0" t="0" r="0" b="0"/>
                <wp:wrapNone/>
                <wp:docPr id="115" name="Frame100"/>
                <a:graphic xmlns:a="http://schemas.openxmlformats.org/drawingml/2006/main">
                  <a:graphicData uri="http://schemas.microsoft.com/office/word/2010/wordprocessingShape">
                    <wps:wsp>
                      <wps:cNvSpPr txBox="1"/>
                      <wps:spPr>
                        <a:xfrm>
                          <a:off x="0" y="0"/>
                          <a:ext cx="6480175" cy="806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1"/>
                              </w:rPr>
                            </w:pPr>
                            <w:r>
                              <w:rPr>
                                <w:rFonts w:ascii="Arial;sans-serif" w:hAnsi="Arial;sans-serif"/>
                                <w:b w:val="false"/>
                                <w:color w:val="000000"/>
                                <w:sz w:val="11"/>
                              </w:rPr>
                              <w:t>Sidley Austin (DC) LLP is a Delaware limited liability partnership doing business as Sidley Austin LLP and practicing in affiliation with other Sidley Austin partnerships.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1"/>
                        </w:rPr>
                      </w:pPr>
                      <w:r>
                        <w:rPr>
                          <w:rFonts w:ascii="Arial;sans-serif" w:hAnsi="Arial;sans-serif"/>
                          <w:b w:val="false"/>
                          <w:color w:val="000000"/>
                          <w:sz w:val="11"/>
                        </w:rPr>
                        <w:t>Sidley Austin (DC) LLP is a Delaware limited liability partnership doing business as Sidley Austin LLP and practicing in affiliation with other Sidley Austin partnerships.</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2</w:t>
      </w:r>
    </w:p>
    <w:p>
      <w:pPr>
        <w:pStyle w:val="TextBody"/>
        <w:bidi w:val="0"/>
        <w:spacing w:lineRule="auto" w:line="288" w:before="0" w:after="120"/>
        <w:ind w:left="0" w:right="0" w:firstLine="720"/>
        <w:jc w:val="left"/>
        <w:rPr/>
      </w:pPr>
      <w:r>
        <w:rPr>
          <w:rFonts w:ascii="Times New Roman;serif" w:hAnsi="Times New Roman;serif"/>
          <w:b w:val="false"/>
          <w:color w:val="000000"/>
          <w:sz w:val="24"/>
        </w:rPr>
        <w:t>(2)    the Senior Debt Securities will be issued under one or more indentures (each, a “</w:t>
      </w:r>
      <w:r>
        <w:rPr>
          <w:rFonts w:ascii="Times New Roman;serif" w:hAnsi="Times New Roman;serif"/>
          <w:b w:val="false"/>
          <w:color w:val="000000"/>
          <w:sz w:val="24"/>
          <w:u w:val="single"/>
        </w:rPr>
        <w:t>Senior Indenture</w:t>
      </w:r>
      <w:r>
        <w:rPr>
          <w:color w:val="000000"/>
        </w:rPr>
        <w:t>”</w:t>
      </w:r>
      <w:r>
        <w:rPr>
          <w:rFonts w:ascii="Times New Roman;serif" w:hAnsi="Times New Roman;serif"/>
          <w:b w:val="false"/>
          <w:color w:val="000000"/>
          <w:sz w:val="24"/>
        </w:rPr>
        <w:t>) to be entered into between the Company and a trustee (the “</w:t>
      </w:r>
      <w:r>
        <w:rPr>
          <w:rFonts w:ascii="Times New Roman;serif" w:hAnsi="Times New Roman;serif"/>
          <w:b w:val="false"/>
          <w:color w:val="000000"/>
          <w:sz w:val="24"/>
          <w:u w:val="single"/>
        </w:rPr>
        <w:t>Senior</w:t>
      </w:r>
      <w:r>
        <w:rPr>
          <w:color w:val="000000"/>
        </w:rPr>
        <w:t xml:space="preserv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left"/>
        <w:rPr/>
      </w:pPr>
      <w:r>
        <w:rPr>
          <w:rFonts w:ascii="Times New Roman;serif" w:hAnsi="Times New Roman;serif"/>
          <w:b w:val="false"/>
          <w:color w:val="000000"/>
          <w:sz w:val="24"/>
        </w:rPr>
        <w:t>(3)    the Subordinated Debt Securities will be issued under one or more indentures (each, a “</w:t>
      </w:r>
      <w:r>
        <w:rPr>
          <w:rFonts w:ascii="Times New Roman;serif" w:hAnsi="Times New Roman;serif"/>
          <w:b w:val="false"/>
          <w:color w:val="000000"/>
          <w:sz w:val="24"/>
          <w:u w:val="single"/>
        </w:rPr>
        <w:t>Subordinated Indenture</w:t>
      </w:r>
      <w:r>
        <w:rPr>
          <w:rFonts w:ascii="Times New Roman;serif" w:hAnsi="Times New Roman;serif"/>
          <w:b w:val="false"/>
          <w:color w:val="000000"/>
          <w:sz w:val="24"/>
        </w:rPr>
        <w:t>,” and, together with the Senior Indenture, each an “</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Indentures</w:t>
      </w:r>
      <w:r>
        <w:rPr>
          <w:color w:val="000000"/>
        </w:rPr>
        <w:t>”</w:t>
      </w:r>
      <w:r>
        <w:rPr>
          <w:rFonts w:ascii="Times New Roman;serif" w:hAnsi="Times New Roman;serif"/>
          <w:b w:val="false"/>
          <w:color w:val="000000"/>
          <w:sz w:val="24"/>
        </w:rPr>
        <w:t>) to be entered into between the Company and a trustee (the “</w:t>
      </w:r>
      <w:r>
        <w:rPr>
          <w:rFonts w:ascii="Times New Roman;serif" w:hAnsi="Times New Roman;serif"/>
          <w:b w:val="false"/>
          <w:color w:val="000000"/>
          <w:sz w:val="24"/>
          <w:u w:val="single"/>
        </w:rPr>
        <w:t>Subordinated Trustee</w:t>
      </w:r>
      <w:r>
        <w:rPr>
          <w:color w:val="000000"/>
        </w:rPr>
        <w:t>”</w:t>
      </w:r>
      <w:r>
        <w:rPr>
          <w:rFonts w:ascii="Times New Roman;serif" w:hAnsi="Times New Roman;serif"/>
          <w:b w:val="false"/>
          <w:color w:val="000000"/>
          <w:sz w:val="24"/>
        </w:rPr>
        <w:t>);</w:t>
      </w:r>
    </w:p>
    <w:p>
      <w:pPr>
        <w:pStyle w:val="TextBody"/>
        <w:bidi w:val="0"/>
        <w:spacing w:lineRule="auto" w:line="288" w:before="0" w:after="120"/>
        <w:ind w:left="0" w:right="0" w:firstLine="720"/>
        <w:jc w:val="left"/>
        <w:rPr/>
      </w:pPr>
      <w:r>
        <w:rPr>
          <w:rFonts w:ascii="Times New Roman;serif" w:hAnsi="Times New Roman;serif"/>
          <w:b w:val="false"/>
          <w:color w:val="000000"/>
          <w:sz w:val="24"/>
        </w:rPr>
        <w:t>(4)    the Warrants will be issued under a warrant agreement (the “</w:t>
      </w:r>
      <w:r>
        <w:rPr>
          <w:rFonts w:ascii="Times New Roman;serif" w:hAnsi="Times New Roman;serif"/>
          <w:b w:val="false"/>
          <w:color w:val="000000"/>
          <w:sz w:val="24"/>
          <w:u w:val="single"/>
        </w:rPr>
        <w:t>Warrant</w:t>
      </w:r>
      <w:r>
        <w:rPr>
          <w:color w:val="000000"/>
        </w:rPr>
        <w:t xml:space="preserv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to be entered into between the Company and a warrant agent (the “</w:t>
      </w:r>
      <w:r>
        <w:rPr>
          <w:rFonts w:ascii="Times New Roman;serif" w:hAnsi="Times New Roman;serif"/>
          <w:b w:val="false"/>
          <w:color w:val="000000"/>
          <w:sz w:val="24"/>
          <w:u w:val="single"/>
        </w:rPr>
        <w:t>Warrant</w:t>
      </w:r>
      <w:r>
        <w:rPr>
          <w:color w:val="000000"/>
        </w:rPr>
        <w:t xml:space="preserve"> </w:t>
      </w:r>
      <w:r>
        <w:rPr>
          <w:rFonts w:ascii="Times New Roman;serif" w:hAnsi="Times New Roman;serif"/>
          <w:b w:val="false"/>
          <w:color w:val="000000"/>
          <w:sz w:val="24"/>
          <w:u w:val="single"/>
        </w:rPr>
        <w:t>Agent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120"/>
        <w:ind w:left="0" w:right="0" w:firstLine="720"/>
        <w:jc w:val="left"/>
        <w:rPr/>
      </w:pPr>
      <w:r>
        <w:rPr>
          <w:rFonts w:ascii="Times New Roman;serif" w:hAnsi="Times New Roman;serif"/>
          <w:b w:val="false"/>
          <w:color w:val="000000"/>
          <w:sz w:val="24"/>
        </w:rPr>
        <w:t>(5)    the Purchase Contracts will be issued under a Purchase Contract agreement (the “</w:t>
      </w:r>
      <w:r>
        <w:rPr>
          <w:rFonts w:ascii="Times New Roman;serif" w:hAnsi="Times New Roman;serif"/>
          <w:b w:val="false"/>
          <w:color w:val="000000"/>
          <w:sz w:val="24"/>
          <w:u w:val="single"/>
        </w:rPr>
        <w:t>Purchase Contract Agreement</w:t>
      </w:r>
      <w:r>
        <w:rPr>
          <w:color w:val="000000"/>
        </w:rPr>
        <w:t>”</w:t>
      </w:r>
      <w:r>
        <w:rPr>
          <w:rFonts w:ascii="Times New Roman;serif" w:hAnsi="Times New Roman;serif"/>
          <w:b w:val="false"/>
          <w:color w:val="000000"/>
          <w:sz w:val="24"/>
        </w:rPr>
        <w:t>) between the Company and a purchase contract agent (the “</w:t>
      </w:r>
      <w:r>
        <w:rPr>
          <w:rFonts w:ascii="Times New Roman;serif" w:hAnsi="Times New Roman;serif"/>
          <w:b w:val="false"/>
          <w:color w:val="000000"/>
          <w:sz w:val="24"/>
          <w:u w:val="single"/>
        </w:rPr>
        <w:t>Purchase Contract Agent</w:t>
      </w:r>
      <w:r>
        <w:rPr>
          <w:color w:val="000000"/>
        </w:rPr>
        <w:t>”</w:t>
      </w:r>
      <w:r>
        <w:rPr>
          <w:rFonts w:ascii="Times New Roman;serif" w:hAnsi="Times New Roman;serif"/>
          <w:b w:val="false"/>
          <w:color w:val="000000"/>
          <w:sz w:val="24"/>
        </w:rPr>
        <w:t>); and</w:t>
      </w:r>
    </w:p>
    <w:p>
      <w:pPr>
        <w:pStyle w:val="TextBody"/>
        <w:bidi w:val="0"/>
        <w:spacing w:lineRule="auto" w:line="288" w:before="0" w:after="120"/>
        <w:ind w:left="0" w:right="0" w:firstLine="720"/>
        <w:jc w:val="left"/>
        <w:rPr/>
      </w:pPr>
      <w:r>
        <w:rPr>
          <w:rFonts w:ascii="Times New Roman;serif" w:hAnsi="Times New Roman;serif"/>
          <w:b w:val="false"/>
          <w:color w:val="000000"/>
          <w:sz w:val="24"/>
        </w:rPr>
        <w:t>(6)    the Purchase Units will be issued under one or more agreements (each, a “</w:t>
      </w:r>
      <w:r>
        <w:rPr>
          <w:rFonts w:ascii="Times New Roman;serif" w:hAnsi="Times New Roman;serif"/>
          <w:b w:val="false"/>
          <w:color w:val="000000"/>
          <w:sz w:val="24"/>
          <w:u w:val="single"/>
        </w:rPr>
        <w:t>Unit</w:t>
      </w:r>
      <w:r>
        <w:rPr>
          <w:color w:val="000000"/>
        </w:rPr>
        <w:t xml:space="preserve">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to be entered into between the Company and a unit agent (the “</w:t>
      </w:r>
      <w:r>
        <w:rPr>
          <w:rFonts w:ascii="Times New Roman;serif" w:hAnsi="Times New Roman;serif"/>
          <w:b w:val="false"/>
          <w:color w:val="000000"/>
          <w:sz w:val="24"/>
          <w:u w:val="single"/>
        </w:rPr>
        <w:t>Unit Agent</w:t>
      </w:r>
      <w:r>
        <w:rPr>
          <w:color w:val="000000"/>
        </w:rPr>
        <w:t>”</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each case, substantially in the form that has been or will be filed and incorporated by reference as an exhibit to the Registration Statement.</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opinion letter is being delivered in accordance with the requirements of Item 601(b)(5) of Regulation S-K under the Securities Act.</w:t>
      </w:r>
    </w:p>
    <w:p>
      <w:pPr>
        <w:pStyle w:val="TextBody"/>
        <w:bidi w:val="0"/>
        <w:spacing w:lineRule="auto" w:line="288" w:before="0" w:after="120"/>
        <w:ind w:left="0" w:right="0" w:firstLine="1440"/>
        <w:jc w:val="left"/>
        <w:rPr/>
      </w:pPr>
      <w:r>
        <w:rPr>
          <w:rFonts w:ascii="Times New Roman;serif" w:hAnsi="Times New Roman;serif"/>
          <w:b w:val="false"/>
          <w:color w:val="000000"/>
          <w:sz w:val="24"/>
        </w:rPr>
        <w:t>We have examined the Registration Statement, the exhibits thereto, the Amended and Restated Articles of Incorporation of the Company, as amended to the date hereof (the “</w:t>
      </w:r>
      <w:r>
        <w:rPr>
          <w:rFonts w:ascii="Times New Roman;serif" w:hAnsi="Times New Roman;serif"/>
          <w:b w:val="false"/>
          <w:color w:val="000000"/>
          <w:sz w:val="24"/>
          <w:u w:val="single"/>
        </w:rPr>
        <w:t>Charter</w:t>
      </w:r>
      <w:r>
        <w:rPr>
          <w:color w:val="000000"/>
        </w:rPr>
        <w:t>”</w:t>
      </w:r>
      <w:r>
        <w:rPr>
          <w:rFonts w:ascii="Times New Roman;serif" w:hAnsi="Times New Roman;serif"/>
          <w:b w:val="false"/>
          <w:color w:val="000000"/>
          <w:sz w:val="24"/>
        </w:rPr>
        <w:t>), the Amended and Restated Bylaws of the Company, as amended to the date hereof (the “</w:t>
      </w:r>
      <w:r>
        <w:rPr>
          <w:rFonts w:ascii="Times New Roman;serif" w:hAnsi="Times New Roman;serif"/>
          <w:b w:val="false"/>
          <w:color w:val="000000"/>
          <w:sz w:val="24"/>
          <w:u w:val="single"/>
        </w:rPr>
        <w:t>Bylaws</w:t>
      </w:r>
      <w:r>
        <w:rPr>
          <w:color w:val="000000"/>
        </w:rPr>
        <w:t>”</w:t>
      </w:r>
      <w:r>
        <w:rPr>
          <w:rFonts w:ascii="Times New Roman;serif" w:hAnsi="Times New Roman;serif"/>
          <w:b w:val="false"/>
          <w:color w:val="000000"/>
          <w:sz w:val="24"/>
        </w:rPr>
        <w:t>), and the resolutions (the “</w:t>
      </w:r>
      <w:r>
        <w:rPr>
          <w:rFonts w:ascii="Times New Roman;serif" w:hAnsi="Times New Roman;serif"/>
          <w:b w:val="false"/>
          <w:color w:val="000000"/>
          <w:sz w:val="24"/>
          <w:u w:val="single"/>
        </w:rPr>
        <w:t>Resolutions</w:t>
      </w:r>
      <w:r>
        <w:rPr>
          <w:color w:val="000000"/>
        </w:rPr>
        <w:t>”</w:t>
      </w:r>
      <w:r>
        <w:rPr>
          <w:rFonts w:ascii="Times New Roman;serif" w:hAnsi="Times New Roman;serif"/>
          <w:b w:val="false"/>
          <w:color w:val="000000"/>
          <w:sz w:val="24"/>
        </w:rPr>
        <w:t>) adopted by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relating to the Registration Statement. We have also examined originals, or copies of originals certified to our satisfaction, of such agreements, documents, certificates and statements of the Company and others,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Based on and subject to the foregoing and the other limitations, qualifications and assumptions set forth herein, we are of the opinion that:</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1.    The Depositary Shares covered by the Registration Statement will entitle the holders thereof to the rights specified in the Depositary Shares and the Deposit Agreement relating to the Depositary Shares when: (i) the Registration Statement (including any necessary </w:t>
      </w:r>
    </w:p>
    <w:p>
      <w:pPr>
        <w:pStyle w:val="TextBody"/>
        <w:bidi w:val="0"/>
        <w:spacing w:before="0" w:after="240"/>
        <w:jc w:val="left"/>
        <w:rPr/>
      </w:pPr>
      <w:r>
        <w:rPr/>
        <w:drawing>
          <wp:inline distT="0" distB="0" distL="0" distR="0">
            <wp:extent cx="1371600" cy="314325"/>
            <wp:effectExtent l="0" t="0" r="0" b="0"/>
            <wp:docPr id="1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 descr=""/>
                    <pic:cNvPicPr>
                      <a:picLocks noChangeAspect="1" noChangeArrowheads="1"/>
                    </pic:cNvPicPr>
                  </pic:nvPicPr>
                  <pic:blipFill>
                    <a:blip r:embed="rId34"/>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3</w:t>
      </w:r>
    </w:p>
    <w:p>
      <w:pPr>
        <w:pStyle w:val="TextBody"/>
        <w:bidi w:val="0"/>
        <w:spacing w:lineRule="auto" w:line="288" w:before="0" w:after="240"/>
        <w:jc w:val="left"/>
        <w:rPr/>
      </w:pPr>
      <w:r>
        <w:rPr>
          <w:rFonts w:ascii="Times New Roman;serif" w:hAnsi="Times New Roman;serif"/>
          <w:b w:val="false"/>
          <w:color w:val="000000"/>
          <w:sz w:val="24"/>
        </w:rPr>
        <w:t>post-effective amendments) shall have become effective under the Securities Act; (ii) a prospectus supplement with respect to the sale of such Depositary Shares and the requisite number of shares of the series of Preferred Stock underlying such Depositary Shares (the “</w:t>
      </w:r>
      <w:r>
        <w:rPr>
          <w:rFonts w:ascii="Times New Roman;serif" w:hAnsi="Times New Roman;serif"/>
          <w:b w:val="false"/>
          <w:color w:val="000000"/>
          <w:sz w:val="24"/>
          <w:u w:val="single"/>
        </w:rPr>
        <w:t>Underlying Preferred Stock</w:t>
      </w:r>
      <w:r>
        <w:rPr>
          <w:color w:val="000000"/>
        </w:rPr>
        <w:t>”</w:t>
      </w:r>
      <w:r>
        <w:rPr>
          <w:rFonts w:ascii="Times New Roman;serif" w:hAnsi="Times New Roman;serif"/>
          <w:b w:val="false"/>
          <w:color w:val="000000"/>
          <w:sz w:val="24"/>
        </w:rPr>
        <w:t>) shall have been filed with the SEC in compliance with the Securities Act and the rules and regulations thereunder; (iii) a Deposit Agreement relating to such Depositary Shares shall have been duly authorized, executed and delivered by the Company and duly executed and delivered by the Depositary named in the Deposit Agreement; (iv) the Board or a duly authorized committee thereof shall have duly adopted final resolutions in conformity with the Charter, the Bylaws, the Resolutions and applicable Nevada law establishing the designations, preferences, rights, qualifications, limitations or restrictions of such series of Underlying Preferred Stock underlying such Depositary Shares and authorizing the issuance and sale of such series of Underlying Preferred Stock; (v) the Company shall have filed with the Secretary of State of the State of Nevada a Certificate of Designation with respect to such series of Underlying Preferred Stock underlying such Depositary Shares in accordance with applicable Nevada law and in conformity with the Charter and such final resolutions; (vi) the certificates, if any, representing such series of Underlying Preferred Stock underlying such Depositary Shares shall have been duly executed, countersigned and registered and duly delivered against payment of the agreed consideration therefor in an amount not less than the par value thereof or, if any shares of such series of Underlying Preferred Stock are to be issued in uncertificated form, the Company’s books shall reflect the issuance of such shares in accordance with the applicable definitive purchase, underwriting or similar agreement to the purchasers thereof against payment of the agreed consideration therefor in an amount not less than the par value thereof, all in accordance with the Charter, the Bylaws, the Resolutions and applicable Nevada law; and (vii) the depositary receipts evidencing Depositary Shares shall have been duly executed and delivered by the Depositary in the manner set forth in the Deposit Agreement and in accordance with the applicable definitive purchase, underwriting or similar agreement to the purchasers thereof against payment of the agreed consideration therefor.</w:t>
      </w:r>
    </w:p>
    <w:p>
      <w:pPr>
        <w:pStyle w:val="TextBody"/>
        <w:bidi w:val="0"/>
        <w:spacing w:lineRule="auto" w:line="288" w:before="0" w:after="240"/>
        <w:ind w:left="0" w:right="0" w:firstLine="720"/>
        <w:jc w:val="left"/>
        <w:rPr/>
      </w:pPr>
      <w:r>
        <w:rPr>
          <w:rFonts w:ascii="Times New Roman;serif" w:hAnsi="Times New Roman;serif"/>
          <w:b w:val="false"/>
          <w:color w:val="000000"/>
          <w:sz w:val="24"/>
        </w:rPr>
        <w:t>2.    Each issue of Warrants covered by the Registration Statement will constitute valid and binding obligations of the Company when: (i) the Registration Statement (including any necessary post-effective amendments), shall have become effective under the Securities Act; (ii) a prospectus supplement with respect to the sale of such issue of Warrants and the requisite number of shares of Common Stock, Preferred Stock, Depositary Shares, or Debt Securities issuable upon exercise of such Warrants shall have been filed with the SEC in compliance with the Securities Act and the rules and regulations thereunder; (iii) a Warrant Agreement relating to such issue of Warrants shall have been duly authorized, executed and delivered by the Company and duly executed and delivered by the Warrant Agent named in the Warrant Agreement; (iv) the Board or a duly authorized committee thereof shall have duly adopted final resolutions in conformity with the Charter</w:t>
      </w:r>
      <w:r>
        <w:rPr>
          <w:rFonts w:ascii="Times New Roman;serif" w:hAnsi="Times New Roman;serif"/>
          <w:b/>
          <w:color w:val="000000"/>
          <w:sz w:val="24"/>
        </w:rPr>
        <w:t xml:space="preserve">, </w:t>
      </w:r>
      <w:r>
        <w:rPr>
          <w:rFonts w:ascii="Times New Roman;serif" w:hAnsi="Times New Roman;serif"/>
          <w:b w:val="false"/>
          <w:color w:val="000000"/>
          <w:sz w:val="24"/>
        </w:rPr>
        <w:t xml:space="preserve">the Bylaws, the Resolutions and applicable Nevada law authorizing the execution and delivery of the Warrant Agreement and the issuance and sale of such issue of Warrants; (v) if such Warrants are exercisable for shares of Common Stock, (A) the Board or a duly authorized committee thereof shall have duly adopted final resolutions in conformity with </w:t>
      </w:r>
    </w:p>
    <w:p>
      <w:pPr>
        <w:pStyle w:val="TextBody"/>
        <w:bidi w:val="0"/>
        <w:spacing w:before="0" w:after="240"/>
        <w:jc w:val="left"/>
        <w:rPr/>
      </w:pPr>
      <w:r>
        <w:rPr/>
        <w:drawing>
          <wp:inline distT="0" distB="0" distL="0" distR="0">
            <wp:extent cx="1371600" cy="314325"/>
            <wp:effectExtent l="0" t="0" r="0" b="0"/>
            <wp:docPr id="1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2" descr=""/>
                    <pic:cNvPicPr>
                      <a:picLocks noChangeAspect="1" noChangeArrowheads="1"/>
                    </pic:cNvPicPr>
                  </pic:nvPicPr>
                  <pic:blipFill>
                    <a:blip r:embed="rId35"/>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Charter, the Bylaws, the Resolutions and applicable Nevada law authorizing the issuance and sale of such shares of Common Stock; and (B) the certificates, if any, representing such shares of Common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par value thereof or, if any such shares of Common Stock are to be issued in uncertificated form, the Company’s books shall reflect the issuance of such shares of Common Stock in accordance with the applicable definitive purchase, underwriting or similar agreement to the purchasers thereof against payment of the agreed consideration therefor in an amount not less than the par value thereof; (vi) if such Warrants are exercisable for Preferred Stock, (A) the Board or a duly authorized committee thereof shall have duly adopted final resolutions in conformity with the Charter, the Bylaws, the Resolutions and applicable Nevada law establishing the designations, preferences, rights, qualifications, limitations or restrictions of such series of Preferred Stock and authorizing the issuance and sale of such series of Preferred Stock; (B) the Company shall have filed with the Secretary of State of the State of Nevada a Certificate of Designation with respect to such series of Preferred Stock in accordance with applicable Nevada law and in conformity with the Charter and such final resolutions; and (C) the certificates, if any, representing such series of Preferred Stock shall have been duly executed, countersigned and registered and duly delivered in accordance with the applicable definitive purchase, underwriting or similar agreement to the purchasers thereof against payment of the agreed consideration therefor in an amount not less than the par value thereof or, if any shares of such series of Preferred Stock are to be issued in uncertificated form, the Company’s books shall reflect the issuance of such shares in accordance with the applicable definitive purchase, underwriting or similar agreement to the purchasers thereof against payment of the agreed consideration therefor in an amount not less than the par value thereof; (vii) if such Warrants are exercisable for Depositary Shares, the actions described in paragraph 1 above shall have been taken; (viii) if such Warrants are exercisable for Senior Debt Securities, the actions described in paragraph 3 below shall have been taken; (ix) if such Warrants are exercisable for Subordinated Debt Securities, the actions described in paragraph 4 below shall have been taken; and (x) the certificates, if any, representing such issue of Warrants shall have been duly executed, countersigned and registered in accordance with such Warrant Agreement and shall have been duly delivered in accordance with the applicable definitive purchase, underwriting or similar agreement to the purchasers thereof against payment of the agreed consideration therefor. </w:t>
      </w:r>
    </w:p>
    <w:p>
      <w:pPr>
        <w:pStyle w:val="TextBody"/>
        <w:bidi w:val="0"/>
        <w:spacing w:lineRule="auto" w:line="288" w:before="0" w:after="240"/>
        <w:ind w:left="0" w:right="0" w:firstLine="720"/>
        <w:jc w:val="left"/>
        <w:rPr/>
      </w:pPr>
      <w:r>
        <w:rPr>
          <w:rFonts w:ascii="Times New Roman;serif" w:hAnsi="Times New Roman;serif"/>
          <w:b w:val="false"/>
          <w:color w:val="000000"/>
          <w:sz w:val="24"/>
        </w:rPr>
        <w:t>3.    The Senior Debt Securities of each series covered by the Registration Statement will constitute valid and binding obligations of the Company when: (i) the Registration Statement (including any necessary post-effective amendments), shall have become effective under the Securities Act and the Senior Indenture (including any necessary supplemental indenture) shall have been qualified under the Trust Indenture Act of 1939, as amended (the “</w:t>
      </w:r>
      <w:r>
        <w:rPr>
          <w:rFonts w:ascii="Times New Roman;serif" w:hAnsi="Times New Roman;serif"/>
          <w:b w:val="false"/>
          <w:color w:val="000000"/>
          <w:sz w:val="24"/>
          <w:u w:val="single"/>
        </w:rPr>
        <w:t>TIA</w:t>
      </w:r>
      <w:r>
        <w:rPr>
          <w:color w:val="000000"/>
        </w:rPr>
        <w:t>”</w:t>
      </w:r>
      <w:r>
        <w:rPr>
          <w:rFonts w:ascii="Times New Roman;serif" w:hAnsi="Times New Roman;serif"/>
          <w:b w:val="false"/>
          <w:color w:val="000000"/>
          <w:sz w:val="24"/>
        </w:rPr>
        <w:t xml:space="preserve">); (ii) a prospectus supplement with respect to such series of Senior Debt Securities shall have been filed with the SEC in compliance with the Securities Act and the rules and regulations thereunder; (iii) the Senior Indenture shall have been duly authorized, executed and delivered by </w:t>
      </w:r>
    </w:p>
    <w:p>
      <w:pPr>
        <w:pStyle w:val="TextBody"/>
        <w:bidi w:val="0"/>
        <w:spacing w:before="0" w:after="240"/>
        <w:jc w:val="left"/>
        <w:rPr/>
      </w:pPr>
      <w:r>
        <w:rPr/>
        <w:drawing>
          <wp:inline distT="0" distB="0" distL="0" distR="0">
            <wp:extent cx="1371600" cy="314325"/>
            <wp:effectExtent l="0" t="0" r="0" b="0"/>
            <wp:docPr id="12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3" descr=""/>
                    <pic:cNvPicPr>
                      <a:picLocks noChangeAspect="1" noChangeArrowheads="1"/>
                    </pic:cNvPicPr>
                  </pic:nvPicPr>
                  <pic:blipFill>
                    <a:blip r:embed="rId36"/>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1"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5</w:t>
      </w:r>
    </w:p>
    <w:p>
      <w:pPr>
        <w:pStyle w:val="TextBody"/>
        <w:bidi w:val="0"/>
        <w:spacing w:lineRule="auto" w:line="288" w:before="0" w:after="240"/>
        <w:jc w:val="left"/>
        <w:rPr/>
      </w:pPr>
      <w:r>
        <w:rPr>
          <w:rFonts w:ascii="Times New Roman;serif" w:hAnsi="Times New Roman;serif"/>
          <w:b w:val="false"/>
          <w:color w:val="000000"/>
          <w:sz w:val="24"/>
        </w:rPr>
        <w:t>the Company and the Senior Trustee; (iv) all necessary corporate action shall have been taken by the Company to authorize the form, terms, execution, delivery, performance, issuance and sale of such series of Senior Debt Securities as contemplated by the Registration Statement, the prospectus supplement relating to such Senior Debt Securities and the Senior Indenture and to authorize the execution, delivery and performance of a supplemental indenture or officers’ certificate establishing the form and terms of such series of Senior Debt Securities as contemplated by the Senior Indenture; (v) a supplemental indenture or officers’ certificate establishing the form and terms of such series of Senior Debt Securities shall have been duly executed and delivered by the Company and the Senior Trustee (in the case of such a supplemental indenture) or by duly authorized officers of the Company (in the case of such an officers’ certificate), in each case in accordance with the provisions of the Charter</w:t>
      </w:r>
      <w:r>
        <w:rPr>
          <w:rFonts w:ascii="Times New Roman;serif" w:hAnsi="Times New Roman;serif"/>
          <w:b/>
          <w:color w:val="000000"/>
          <w:sz w:val="24"/>
        </w:rPr>
        <w:t xml:space="preserve">, </w:t>
      </w:r>
      <w:r>
        <w:rPr>
          <w:rFonts w:ascii="Times New Roman;serif" w:hAnsi="Times New Roman;serif"/>
          <w:b w:val="false"/>
          <w:color w:val="000000"/>
          <w:sz w:val="24"/>
        </w:rPr>
        <w:t>the Bylaws, the Resolutions, final resolutions of the Board or a duly authorized committee thereof, and the Senior Indenture; (vi) if such Senior Debt Securities are convertible into shares of Common Stock, the actions described in paragraph 2(v) above shall have been taken; (vii) if such Senior Debt Securities are convertible into shares of Preferred Stock, the actions described in paragraph 2(vi) above shall have been taken; (viii) if such Senior Debt Securities are convertible into Depositary Shares, the actions described in paragraph 1 above shall have been taken; and (ix) the certificates, if any, evidencing the Senior Debt Securities of such series shall have been duly executed and delivered by the Company, authenticated by the Senior Trustee and issued, all in accordance with the Charter, the Bylaws, the Resolutions, final resolutions of the Board or a duly authorized committee thereof, the Senior Indenture and the supplemental indenture or officers’ certificate, as the case may be, establishing the form and terms of the Senior Debt Securities of such series, and shall have been duly delivered in accordance with the applicable definitive purchase, underwriting or similar agreement to the purchasers thereof against payment of the agreed consideration therefor.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4.    The Subordinated Debt Securities of each series covered by the Registration Statement will constitute valid and binding obligations of the Company when: (i) the Registration Statement (including any necessary post-effective amendments), shall have become effective under the Securities Act and the Subordinated Indenture (including any necessary supplemental indenture) shall have been qualified under the TIA; (ii) a prospectus supplement with respect to such series of Subordinated Debt Securities shall have been filed with the SEC in compliance with the Securities Act and the rules and regulations thereunder; (iii) the Subordinated Indenture shall have been duly authorized, executed and delivered by the Company and the Subordinated Trustee; (iv) all necessary corporate action shall have been taken by the Company to authorize the form, terms, execution, delivery, performance, issuance and sale of such series of Subordinated Debt Securities as contemplated by the Registration Statement, the prospectus supplement relating to such Subordinated Debt Securities and the Subordinated Indenture and to authorize the execution, delivery and performance of a supplemental indenture or officers’ certificate establishing the form and terms of such series of Subordinated Debt Securities as contemplated by the Subordinated Indenture; (v) a supplemental indenture or officers’ certificate establishing the form and terms of such series of Subordinated Debt </w:t>
      </w:r>
    </w:p>
    <w:p>
      <w:pPr>
        <w:pStyle w:val="TextBody"/>
        <w:bidi w:val="0"/>
        <w:spacing w:before="0" w:after="240"/>
        <w:jc w:val="left"/>
        <w:rPr/>
      </w:pPr>
      <w:r>
        <w:rPr/>
        <w:drawing>
          <wp:inline distT="0" distB="0" distL="0" distR="0">
            <wp:extent cx="1371600" cy="314325"/>
            <wp:effectExtent l="0" t="0" r="0" b="0"/>
            <wp:docPr id="1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4" descr=""/>
                    <pic:cNvPicPr>
                      <a:picLocks noChangeAspect="1" noChangeArrowheads="1"/>
                    </pic:cNvPicPr>
                  </pic:nvPicPr>
                  <pic:blipFill>
                    <a:blip r:embed="rId37"/>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3"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Securities shall have been duly executed and delivered by the Company and the Subordinated Trustee (in the case of such a supplemental indenture) or by duly authorized officers of the Company (in the case of such an officers’ certificate), in each case in accordance with the provisions of the Charter, the Bylaws, the Resolutions, final resolutions of the Board or a duly authorized committee thereof and the Subordinated Indenture; (vi) if such Subordinated Debt Securities are convertible into shares of Common Stock, the actions described in paragraph 2(v) above shall have been taken; (vii) if such Subordinated Debt Securities are convertible into shares of Preferred Stock, the actions described in paragraph 2(vi) above shall have been taken; (viii) if such Subordinated Debt Securities are convertible into Depositary Shares, the actions described in paragraph 1 above shall have been taken; and (ix) the certificates, if any, evidencing the Subordinated Debt Securities of such series shall have been duly executed and delivered by the Company, authenticated by the Subordinated Trustee and issued, all in accordance with the Charter, the Bylaws, the Resolutions, final resolutions of the Board or a duly authorized committee thereof, the Subordinated Indenture and the supplemental indenture or officers’ certificate, as the case may be, establishing the form and terms of the Subordinated Debt Securities of such series, and shall have been duly delivered in accordance with the applicable definitive purchase, underwriting or similar agreement to the purchasers thereof against payment of the agreed consideration therefor.</w:t>
      </w:r>
    </w:p>
    <w:p>
      <w:pPr>
        <w:pStyle w:val="TextBody"/>
        <w:bidi w:val="0"/>
        <w:spacing w:lineRule="auto" w:line="288" w:before="0" w:after="240"/>
        <w:ind w:left="0" w:right="0" w:firstLine="720"/>
        <w:jc w:val="left"/>
        <w:rPr/>
      </w:pPr>
      <w:r>
        <w:rPr>
          <w:rFonts w:ascii="Times New Roman;serif" w:hAnsi="Times New Roman;serif"/>
          <w:b w:val="false"/>
          <w:color w:val="000000"/>
          <w:sz w:val="24"/>
        </w:rPr>
        <w:t>5.    The Purchase Contracts will constitute valid and binding obligations of the Company when: (i) the Registration Statement (including any necessary post-effective amendments), shall have become effective under the Securities Act; (ii) a prospectus supplement with respect to the sale of such Purchase Contracts shall have been filed with the SEC in compliance with the Securities Act and the rules and regulations thereunder; (iii) a Purchase Contract Agreement relating to such Purchase Contracts shall have been duly authorized, executed and delivered by the Company and duly executed and delivered by the Purchase Contract Agent named in the Purchase Contract Agreement; (iv) the Board or a duly authorized committee thereof shall have duly adopted final resolutions in conformity with the Charter, the Bylaws, the Resolutions and applicable Nevada law authorizing the execution, delivery, issuance and sale of such Purchase Contracts; (v) if such Purchase Contracts relate to the issuance and sale of Common Stock, the actions described in paragraph 2(v) above shall have been taken; (vi) if such Purchase Contracts relate to the issuance and sale of Preferred Stock, the actions described in paragraph 2(vi) above shall have been taken; (vii) if such Purchase Contracts relate to the issuance and sale of Depositary Shares, the actions described in paragraph 1 above shall have been taken, and (viii) the certificates, if any, representing such Purchase Contracts shall have been duly executed, countersigned and registered in accordance with the Purchase Contract Agreement</w:t>
      </w:r>
      <w:r>
        <w:rPr>
          <w:color w:val="000000"/>
        </w:rPr>
        <w:t xml:space="preserve"> </w:t>
      </w:r>
      <w:r>
        <w:rPr>
          <w:rFonts w:ascii="Times New Roman;serif" w:hAnsi="Times New Roman;serif"/>
          <w:b w:val="false"/>
          <w:color w:val="000000"/>
          <w:sz w:val="24"/>
        </w:rPr>
        <w:t>and shall have been duly delivered to the purchasers thereof in accordance with the Purchase Contract Agreement against payment of the agreed consideration therefor.</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6.    The Purchase Units will constitute valid and binding obligations of the Company when: (i) the Registration Statement (including any necessary post-effective amendments), shall have become effective under the Securities Act; (ii) a prospectus supplement with respect to the sale of such Purchase Units shall have been filed with the SEC in compliance with the Securities </w:t>
      </w:r>
    </w:p>
    <w:p>
      <w:pPr>
        <w:pStyle w:val="TextBody"/>
        <w:bidi w:val="0"/>
        <w:spacing w:before="0" w:after="240"/>
        <w:jc w:val="left"/>
        <w:rPr/>
      </w:pPr>
      <w:r>
        <w:rPr/>
        <w:drawing>
          <wp:inline distT="0" distB="0" distL="0" distR="0">
            <wp:extent cx="1371600" cy="314325"/>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38"/>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Act and the rules and regulations thereunder; (iii) the applicable Unit Agreement relating to such Purchase Unit shall have been duly authorized, executed and delivered by the Company and duly executed and delivered by the Unit Agent named in the Unit Agreement; (iv) the Board or a duly authorized committee thereof shall have duly adopted final resolutions in conformity with the Charter, the Bylaws, the Resolutions and applicable Nevada law authorizing the execution, delivery, issuance and sale of such Purchase Units; (v) if such Purchase Units relate to the issuance and sale of Senior Debt Securities, the actions described in paragraph 3 above shall have been taken; (vi) if such Purchase Units relate to the issuance and sale of Subordinated Debt Securities, the actions described in paragraph 4 above shall have been taken; (vii) the actions described in paragraph 5 above shall have been taken; and (viii) the certificates, if any, representing such Purchase Units shall have been duly executed, countersigned and registered in accordance with the applicable Unit Agreement and shall have been duly delivered in accordance with the applicable definitive purchase, underwriting or similar agreement to the purchasers thereof against payment of the agreed consideration therefor.</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Our opinions are subject to bankruptcy, insolvency, reorganization, moratorium, fraudulent conveyance, fraudulent transfer and other similar laws relating to or affecting creditors’ rights generally and to general equitable principles (regardless of whether considered in a proceeding in equity or at law), including concepts of commercial reasonableness, good faith and fair dealing and the possible unavailability of specific performance or injunctive relief, in each case, whether by operation of law, contract, judicial or regulatory action or otherwise. Our opinions are also subject to (i) provisions of law which may require that a judgment for money damages rendered by a court in the United States of America be expressed only in United States dollars, (ii) requirements that a claim with respect to any Debt Securities or other obligations that are denominated or payable other than in United States dollars (or a judgment denominated or payable other than in United States dollars in respect of such claim) be converted into United States dollars at a rate of exchange prevailing on a date determined pursuant to applicable law and (iii) governmental authority to limit, delay or prohibit the making of payments outside of the United States of America or in a foreign currency.</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For the purposes of this opinion letter, we have assumed that, at the time of the issuance, sale and delivery of any of the Securities: </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     the applicable Securities being offered will be issued and sold as contemplated in the Registration Statement and the prospectus supplement relating thereto; </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     the execution, delivery and performance by the Company of the Deposit Agreement, the Senior Indenture, each supplemental indenture to the Senior Indenture establishing the form and terms of the Senior Debt Securities of each series, the Subordinated Indenture, each supplemental indenture to the Subordinated Indenture establishing the form and terms of the Subordinated Debt Securities of each series, the Warrant Agreement, the Purchase Contract Agreement and the Unit Agreement, as applicable, and the issuance, sale and delivery of the applicable Securities will not (A) contravene or violate the Charter or Bylaws, (B) violate any applicable Nevada law or any other law, rule or regulation applicable to the Company, (C) </w:t>
      </w:r>
    </w:p>
    <w:p>
      <w:pPr>
        <w:pStyle w:val="TextBody"/>
        <w:bidi w:val="0"/>
        <w:spacing w:before="0" w:after="240"/>
        <w:jc w:val="left"/>
        <w:rPr/>
      </w:pPr>
      <w:r>
        <w:rPr/>
        <w:drawing>
          <wp:inline distT="0" distB="0" distL="0" distR="0">
            <wp:extent cx="1371600" cy="314325"/>
            <wp:effectExtent l="0" t="0" r="0" b="0"/>
            <wp:docPr id="12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6" descr=""/>
                    <pic:cNvPicPr>
                      <a:picLocks noChangeAspect="1" noChangeArrowheads="1"/>
                    </pic:cNvPicPr>
                  </pic:nvPicPr>
                  <pic:blipFill>
                    <a:blip r:embed="rId39"/>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8</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result in a default under or breach of any agreement or instrument binding upon the Company or any order, judgment or decree of any court or governmental authority applicable to the Company, or (D) require any authorization, approval or other action by, or notice to or filing with, any court or governmental authority (other than such authorizations, approvals, actions, notices or filings which shall have been obtained or made, as the case may be, and which shall be in full force and effect);</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(iii)     the authorization thereof by the Company will not have been modified or rescinded, and there will not have occurred any change in law affecting the validity, legally binding character or enforceability thereof; </w:t>
      </w:r>
    </w:p>
    <w:p>
      <w:pPr>
        <w:pStyle w:val="TextBody"/>
        <w:bidi w:val="0"/>
        <w:spacing w:lineRule="auto" w:line="288" w:before="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(iv)     the Charter, the Bylaws and the Resolutions, each as currently in effect, will not have been modified or amended and will be in full force and effect; and</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(v)     the Company will have a number of authorized and unissued shares of Common Stock and Preferred Stock sufficient to provide for the issuance of all shares of Common Stock and Preferred Stock issued pursuant to the transactions contemplated above and issuable upon exercise of any Warrants or Purchase Units or conversion of any convertible Debt Securities, as applicable. </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We have further assumed that each Warrant Agreement, each Warrant, each Deposit Agreement, each Purchase Contract and/or Purchase Unit, the Senior Indenture, each indenture supplement to the Senior Indenture, the Subordinated Indenture, and each supplement to the Subordinated Indenture, each series of Debt Securities, each Purchase Contract, each Purchase Contract Agreement and each Unit Agreement will be governed by the laws of the State of New York. </w:t>
      </w:r>
    </w:p>
    <w:p>
      <w:pPr>
        <w:pStyle w:val="TextBody"/>
        <w:bidi w:val="0"/>
        <w:spacing w:lineRule="auto" w:line="288" w:before="0" w:after="120"/>
        <w:ind w:left="0" w:right="0" w:firstLine="1440"/>
        <w:jc w:val="left"/>
        <w:rPr/>
      </w:pPr>
      <w:r>
        <w:rPr>
          <w:rFonts w:ascii="Times New Roman;serif" w:hAnsi="Times New Roman;serif"/>
          <w:b w:val="false"/>
          <w:color w:val="000000"/>
          <w:sz w:val="24"/>
        </w:rPr>
        <w:t>With respect to each instrument or agreement referred to in or otherwise relevant to the opinions set forth herein (each, an “</w:t>
      </w:r>
      <w:r>
        <w:rPr>
          <w:rFonts w:ascii="Times New Roman;serif" w:hAnsi="Times New Roman;serif"/>
          <w:b w:val="false"/>
          <w:color w:val="000000"/>
          <w:sz w:val="24"/>
          <w:u w:val="single"/>
        </w:rPr>
        <w:t>Instrument</w:t>
      </w:r>
      <w:r>
        <w:rPr>
          <w:color w:val="000000"/>
        </w:rPr>
        <w:t>”</w:t>
      </w:r>
      <w:r>
        <w:rPr>
          <w:rFonts w:ascii="Times New Roman;serif" w:hAnsi="Times New Roman;serif"/>
          <w:b w:val="false"/>
          <w:color w:val="000000"/>
          <w:sz w:val="24"/>
        </w:rPr>
        <w:t xml:space="preserve">), we have assumed, to the extent relevant to the opinions set forth herein, that (i) each party to such Instrument (if not a natural person) was duly organized or formed, as the case may be, and was at all relevant times and is validly existing and in good standing under the laws of its jurisdiction of organization or formation, as the case may be, and had at all relevant times and has full right, power and authority to execute, deliver and perform its obligations under such Instrument; (ii) such Instrument has been duly authorized, executed and delivered by each party thereto; and (iii) such Instrument was at all relevant times and is a valid, binding and enforceable agreement or obligation, as the case may be, of, each party thereto; provided that we make no assumption in clause (iii) insofar as such assumption relates to the Company and is expressly covered by our opinions set forth herein. </w:t>
      </w:r>
    </w:p>
    <w:p>
      <w:pPr>
        <w:pStyle w:val="TextBody"/>
        <w:bidi w:val="0"/>
        <w:spacing w:lineRule="auto" w:line="288" w:before="0" w:after="12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This opinion letter is limited to the laws of the State of New York (excluding the securities laws of the State of New York). We express no opinion as to the laws, rules or regulations of any other jurisdiction, including, without limitation, the federal laws of the United States of America, the laws of the State of Nevada, or any state securities or blue sky laws.</w:t>
      </w:r>
    </w:p>
    <w:p>
      <w:pPr>
        <w:pStyle w:val="TextBody"/>
        <w:bidi w:val="0"/>
        <w:spacing w:lineRule="auto" w:line="288" w:before="0" w:after="48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We hereby consent to the filing of this opinion letter as an exhibit to the Registration Statement and to all references to our Firm included in or made a part of the </w:t>
      </w:r>
    </w:p>
    <w:p>
      <w:pPr>
        <w:pStyle w:val="TextBody"/>
        <w:bidi w:val="0"/>
        <w:spacing w:before="0" w:after="240"/>
        <w:jc w:val="left"/>
        <w:rPr/>
      </w:pPr>
      <w:r>
        <w:rPr/>
        <w:drawing>
          <wp:inline distT="0" distB="0" distL="0" distR="0">
            <wp:extent cx="1371600" cy="314325"/>
            <wp:effectExtent l="0" t="0" r="0" b="0"/>
            <wp:docPr id="1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7" descr=""/>
                    <pic:cNvPicPr>
                      <a:picLocks noChangeAspect="1" noChangeArrowheads="1"/>
                    </pic:cNvPicPr>
                  </pic:nvPicPr>
                  <pic:blipFill>
                    <a:blip r:embed="rId40"/>
                    <a:stretch>
                      <a:fillRect/>
                    </a:stretch>
                  </pic:blipFill>
                  <pic:spPr bwMode="auto">
                    <a:xfrm>
                      <a:off x="0" y="0"/>
                      <a:ext cx="1371600" cy="314325"/>
                    </a:xfrm>
                    <a:prstGeom prst="rect">
                      <a:avLst/>
                    </a:prstGeom>
                  </pic:spPr>
                </pic:pic>
              </a:graphicData>
            </a:graphic>
          </wp:inline>
        </w:drawing>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9"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Employers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May 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Page 9</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Registration Statement. In giving such consent, we do not thereby admit that we are in the category of persons whose consent is required under Section 7 of the Securities Act.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Very truly yours,</w: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/s/ Sidley Austin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30"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Consent of Independent Registered Public Accounting Firm</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We consent to the reference to our firm under the caption "Experts" in this Registration Statement (Form S-3) and related Prospectus of Employers Holdings, Inc. for the registration of common stock, preferred stock, debt securities, depositary shares, purchase contracts, purchase units, and warrants and to the incorporation by reference therein of our reports dated February 26, 2026, with respect to the consolidated financial statements of Employers Holdings, Inc., and the effectiveness of internal control over financial reporting of Employers Holdings, Inc., included in its Annual Report (Form 10-K) for the year ended December 31, 2025, filed with the Securities and Exchange Commission.</w:t>
      </w:r>
    </w:p>
    <w:p>
      <w:pPr>
        <w:pStyle w:val="TextBody"/>
        <w:bidi w:val="0"/>
        <w:spacing w:lineRule="auto" w:line="288" w:before="0" w:after="48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San Francisco, California</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May 8, 2026</w:t>
      </w:r>
    </w:p>
    <w:p>
      <w:pPr>
        <w:pStyle w:val="TextBody"/>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31"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379041/000137904126000011/eig-20251231.htm" TargetMode="External"/><Relationship Id="rId4" Type="http://schemas.openxmlformats.org/officeDocument/2006/relationships/hyperlink" Target="https://www.sec.gov/ix?doc=/Archives/edgar/data/0001379041/000137904126000015/eig-20260415.htm" TargetMode="External"/><Relationship Id="rId5" Type="http://schemas.openxmlformats.org/officeDocument/2006/relationships/hyperlink" Target="https://www.sec.gov/ix?doc=/Archives/edgar/data/0001379041/000137904126000015/eig-20260415.htm" TargetMode="External"/><Relationship Id="rId6" Type="http://schemas.openxmlformats.org/officeDocument/2006/relationships/hyperlink" Target="https://www.sec.gov/ix?doc=/Archives/edgar/data/0001379041/000137904126000015/eig-20260415.htm" TargetMode="External"/><Relationship Id="rId7" Type="http://schemas.openxmlformats.org/officeDocument/2006/relationships/hyperlink" Target="https://www.sec.gov/ix?doc=/Archives/edgar/data/1379041/000137904126000023/eig-20260331.htm" TargetMode="External"/><Relationship Id="rId8" Type="http://schemas.openxmlformats.org/officeDocument/2006/relationships/hyperlink" Target="https://www.sec.gov/ix?doc=/Archives/edgar/data/1379041/000137904126000023/eig-20260331.htm" TargetMode="External"/><Relationship Id="rId9" Type="http://schemas.openxmlformats.org/officeDocument/2006/relationships/hyperlink" Target="https://www.sec.gov/ix?doc=/Archives/edgar/data/1379041/000137904126000023/eig-20260331.htm" TargetMode="External"/><Relationship Id="rId10" Type="http://schemas.openxmlformats.org/officeDocument/2006/relationships/hyperlink" Target="https://www.sec.gov/ix?doc=/Archives/edgar/data/0001379041/000137904126000007/eig-20260219.htm" TargetMode="External"/><Relationship Id="rId11" Type="http://schemas.openxmlformats.org/officeDocument/2006/relationships/hyperlink" Target="https://www.sec.gov/ix?doc=/Archives/edgar/data/1379041/000137904126000020/eig-20260429.htm" TargetMode="External"/><Relationship Id="rId12" Type="http://schemas.openxmlformats.org/officeDocument/2006/relationships/hyperlink" Target="https://www.sec.gov/Archives/edgar/data/1379041/000137904120000030/exhibit422019.htm" TargetMode="External"/><Relationship Id="rId13" Type="http://schemas.openxmlformats.org/officeDocument/2006/relationships/image" Target="media/image1.jpeg"/><Relationship Id="rId14" Type="http://schemas.openxmlformats.org/officeDocument/2006/relationships/hyperlink" Target="https://www.sec.gov/Archives/edgar/data/1379041/000137904119000023/exhibit31_2018.htm" TargetMode="External"/><Relationship Id="rId15" Type="http://schemas.openxmlformats.org/officeDocument/2006/relationships/hyperlink" Target="https://www.sec.gov/Archives/edgar/data/1379041/000137904119000023/exhibit31_2018.htm" TargetMode="External"/><Relationship Id="rId16" Type="http://schemas.openxmlformats.org/officeDocument/2006/relationships/hyperlink" Target="https://www.sec.gov/Archives/edgar/data/1379041/000137904119000023/exhibit31_2018.htm" TargetMode="External"/><Relationship Id="rId17" Type="http://schemas.openxmlformats.org/officeDocument/2006/relationships/hyperlink" Target="https://www.sec.gov/Archives/edgar/data/1379041/000137904119000023/exhibit31_2018.htm" TargetMode="External"/><Relationship Id="rId18" Type="http://schemas.openxmlformats.org/officeDocument/2006/relationships/hyperlink" Target="https://www.sec.gov/Archives/edgar/data/1379041/000137904123000088/exhibit31amendedandrestate.htm" TargetMode="External"/><Relationship Id="rId19" Type="http://schemas.openxmlformats.org/officeDocument/2006/relationships/hyperlink" Target="https://www.sec.gov/Archives/edgar/data/1379041/000095013607000216/file5.htm" TargetMode="External"/><Relationship Id="rId20" Type="http://schemas.openxmlformats.org/officeDocument/2006/relationships/hyperlink" Target="https://www.sec.gov/Archives/edgar/data/1379041/000137904120000030/exhibit422019.htm" TargetMode="External"/><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image" Target="media/image3.jpeg"/><Relationship Id="rId39" Type="http://schemas.openxmlformats.org/officeDocument/2006/relationships/image" Target="media/image3.jpeg"/><Relationship Id="rId40" Type="http://schemas.openxmlformats.org/officeDocument/2006/relationships/image" Target="media/image3.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110</Pages>
  <Words>47845</Words>
  <Characters>248437</Characters>
  <CharactersWithSpaces>295900</CharactersWithSpaces>
  <Paragraphs>1780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