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color w:val="000000"/>
        </w:rPr>
      </w:pPr>
      <w:r>
        <w:rPr>
          <w:color w:val="000000"/>
        </w:rPr>
        <w:t>——————</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center"/>
        <w:rPr>
          <w:color w:val="000000"/>
        </w:rPr>
      </w:pPr>
      <w:r>
        <w:rPr>
          <w:color w:val="000000"/>
        </w:rPr>
        <w:t>——————</w:t>
      </w:r>
    </w:p>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0" w:after="0"/>
        <w:jc w:val="center"/>
        <w:rPr>
          <w:color w:val="000000"/>
        </w:rPr>
      </w:pPr>
      <w:r>
        <w:rPr>
          <w:color w:val="000000"/>
        </w:rPr>
        <w: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Date of report (Date of earliest event reported): June 25, 2026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 xml:space="preserve">EMPLOYERS HOLDINGS, INC.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0" w:after="0"/>
        <w:jc w:val="center"/>
        <w:rPr>
          <w:color w:val="000000"/>
        </w:rPr>
      </w:pPr>
      <w:r>
        <w:rPr>
          <w:color w:val="000000"/>
        </w:rPr>
        <w:t>——————</w:t>
      </w:r>
    </w:p>
    <w:tbl>
      <w:tblPr>
        <w:tblW w:w="7139" w:type="dxa"/>
        <w:jc w:val="center"/>
        <w:tblInd w:w="0" w:type="dxa"/>
        <w:tblLayout w:type="fixed"/>
        <w:tblCellMar>
          <w:top w:w="28" w:type="dxa"/>
          <w:left w:w="28" w:type="dxa"/>
          <w:bottom w:w="28" w:type="dxa"/>
          <w:right w:w="28" w:type="dxa"/>
        </w:tblCellMar>
      </w:tblPr>
      <w:tblGrid>
        <w:gridCol w:w="1106"/>
        <w:gridCol w:w="636"/>
        <w:gridCol w:w="568"/>
        <w:gridCol w:w="300"/>
        <w:gridCol w:w="300"/>
        <w:gridCol w:w="300"/>
        <w:gridCol w:w="300"/>
        <w:gridCol w:w="300"/>
        <w:gridCol w:w="300"/>
        <w:gridCol w:w="971"/>
        <w:gridCol w:w="971"/>
        <w:gridCol w:w="1087"/>
      </w:tblGrid>
      <w:tr>
        <w:trPr/>
        <w:tc>
          <w:tcPr>
            <w:tcW w:w="110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r>
      <w:tr>
        <w:trPr/>
        <w:tc>
          <w:tcPr>
            <w:tcW w:w="713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Nevada</w:t>
            </w:r>
          </w:p>
        </w:tc>
      </w:tr>
      <w:tr>
        <w:trPr/>
        <w:tc>
          <w:tcPr>
            <w:tcW w:w="713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001-33245</w:t>
            </w:r>
          </w:p>
        </w:tc>
        <w:tc>
          <w:tcPr>
            <w:tcW w:w="180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04-3850065</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180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5340 Kietzke Lane, Suite 202</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Reno,</w:t>
            </w:r>
          </w:p>
        </w:tc>
        <w:tc>
          <w:tcPr>
            <w:tcW w:w="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Nevada</w:t>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89511</w:t>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rFonts w:ascii="Times New Roman;serif" w:hAnsi="Times New Roman;serif"/>
          <w:b w:val="false"/>
          <w:color w:val="000000"/>
          <w:sz w:val="20"/>
        </w:rPr>
        <w:t>Registrant’s telephone number including area code:</w:t>
      </w:r>
      <w:r>
        <w:rPr>
          <w:color w:val="000000"/>
        </w:rPr>
        <w:t xml:space="preserve"> </w:t>
      </w:r>
      <w:r>
        <w:rPr>
          <w:rFonts w:ascii="Times New Roman;serif" w:hAnsi="Times New Roman;serif"/>
          <w:b/>
          <w:color w:val="000000"/>
          <w:sz w:val="20"/>
        </w:rPr>
        <w:t xml:space="preserve">(888) 682-6671 </w:t>
      </w:r>
    </w:p>
    <w:tbl>
      <w:tblPr>
        <w:tblW w:w="2511" w:type="dxa"/>
        <w:jc w:val="center"/>
        <w:tblInd w:w="0" w:type="dxa"/>
        <w:tblLayout w:type="fixed"/>
        <w:tblCellMar>
          <w:top w:w="28" w:type="dxa"/>
          <w:left w:w="28" w:type="dxa"/>
          <w:bottom w:w="28" w:type="dxa"/>
          <w:right w:w="28" w:type="dxa"/>
        </w:tblCellMar>
      </w:tblPr>
      <w:tblGrid>
        <w:gridCol w:w="228"/>
        <w:gridCol w:w="200"/>
        <w:gridCol w:w="200"/>
        <w:gridCol w:w="200"/>
        <w:gridCol w:w="200"/>
        <w:gridCol w:w="200"/>
        <w:gridCol w:w="200"/>
        <w:gridCol w:w="200"/>
        <w:gridCol w:w="200"/>
        <w:gridCol w:w="200"/>
        <w:gridCol w:w="200"/>
        <w:gridCol w:w="283"/>
      </w:tblGrid>
      <w:tr>
        <w:trPr/>
        <w:tc>
          <w:tcPr>
            <w:tcW w:w="22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2511"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No changes since last report</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Address, if Changed Since Last Report)</w:t>
      </w:r>
    </w:p>
    <w:p>
      <w:pPr>
        <w:pStyle w:val="TextBody"/>
        <w:bidi w:val="0"/>
        <w:spacing w:lineRule="auto" w:line="288" w:before="0" w:after="0"/>
        <w:jc w:val="center"/>
        <w:rPr>
          <w:color w:val="000000"/>
        </w:rPr>
      </w:pPr>
      <w:r>
        <w:rPr>
          <w:color w:val="000000"/>
        </w:rPr>
        <w: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both"/>
        <w:rPr/>
      </w:pPr>
      <w:r>
        <w:rPr/>
      </w:r>
    </w:p>
    <w:p>
      <w:pPr>
        <w:pStyle w:val="TextBody"/>
        <w:bidi w:val="0"/>
        <w:spacing w:lineRule="auto" w:line="288" w:before="0" w:after="0"/>
        <w:jc w:val="both"/>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0"/>
        <w:jc w:val="both"/>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0"/>
        <w:jc w:val="both"/>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120"/>
        <w:jc w:val="both"/>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473" w:type="dxa"/>
        <w:jc w:val="left"/>
        <w:tblInd w:w="0" w:type="dxa"/>
        <w:tblLayout w:type="fixed"/>
        <w:tblCellMar>
          <w:top w:w="28" w:type="dxa"/>
          <w:left w:w="28" w:type="dxa"/>
          <w:bottom w:w="28" w:type="dxa"/>
          <w:right w:w="28" w:type="dxa"/>
        </w:tblCellMar>
      </w:tblPr>
      <w:tblGrid>
        <w:gridCol w:w="1266"/>
        <w:gridCol w:w="1108"/>
        <w:gridCol w:w="1121"/>
        <w:gridCol w:w="109"/>
        <w:gridCol w:w="109"/>
        <w:gridCol w:w="109"/>
        <w:gridCol w:w="539"/>
        <w:gridCol w:w="539"/>
        <w:gridCol w:w="541"/>
        <w:gridCol w:w="109"/>
        <w:gridCol w:w="109"/>
        <w:gridCol w:w="109"/>
        <w:gridCol w:w="1085"/>
        <w:gridCol w:w="1085"/>
        <w:gridCol w:w="1535"/>
      </w:tblGrid>
      <w:tr>
        <w:trPr/>
        <w:tc>
          <w:tcPr>
            <w:tcW w:w="126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49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EIG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60" w:after="120"/>
        <w:jc w:val="center"/>
        <w:rPr/>
      </w:pPr>
      <w:r>
        <w:rPr/>
      </w:r>
    </w:p>
    <w:p>
      <w:pPr>
        <w:pStyle w:val="TextBody"/>
        <w:bidi w:val="0"/>
        <w:spacing w:lineRule="auto" w:line="288" w:before="60" w:after="120"/>
        <w:jc w:val="center"/>
        <w:rPr>
          <w:rFonts w:ascii="Times New Roman;serif" w:hAnsi="Times New Roman;serif"/>
          <w:b/>
          <w:color w:val="000000"/>
          <w:sz w:val="20"/>
        </w:rPr>
      </w:pPr>
      <w:r>
        <w:rPr>
          <w:rFonts w:ascii="Times New Roman;serif" w:hAnsi="Times New Roman;serif"/>
          <w:b/>
          <w:color w:val="000000"/>
          <w:sz w:val="20"/>
        </w:rPr>
        <w:t>Section 5 – Corporate Governance and Management</w:t>
      </w:r>
    </w:p>
    <w:p>
      <w:pPr>
        <w:pStyle w:val="TextBody"/>
        <w:bidi w:val="0"/>
        <w:spacing w:before="60" w:after="120"/>
        <w:jc w:val="center"/>
        <w:rPr/>
      </w:pPr>
      <w:r>
        <w:rPr/>
      </w:r>
    </w:p>
    <w:p>
      <w:pPr>
        <w:pStyle w:val="TextBody"/>
        <w:bidi w:val="0"/>
        <w:spacing w:lineRule="auto" w:line="288" w:before="60" w:after="12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On July 1, 2026, Employers Holdings, Inc. (“EHI” or the “Company”) announced that on June 25, 2026, Stephanie C. Bush was elected to the EHI Board of Directors (the “Board”), with her term of service commencing on July 1, 2026. In connection with Ms. Bush’s election, the size of the Board increased to nine (9) directors. As of the date of this report, Ms. Bush has not been appointed to any committees of the Board. The Company intends to file an amendment to this Current Report on Form 8-K to disclose the committee assignments of Ms. Bush when such assignments are determined by the Board.</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Ms. Bush, age 61, retired from The Hartford Insurance Group (“The Hartford”) in March 2024 after serving in roles of increasing responsibility in sales, underwriting and product management spanning over 30 years, most recently as Executive Vice President and Head of Small Commercial and Personal Lines Insurance. From 2008 to 2012, she led the Travelers Personal Insurance Product Management organization as Senior Vice President of Product Management before returning to The Hartford in 2013.</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Ms. Bush also serves on the insurance advisory board for privately-held Lightyear Capital and the boards of privately-held CUNA Mutual Holding Company (TruStage), privately-held Costero Holdings Limited, privately-held Costero Brokers Limited, and Easterseals Midwest. She previously served on the board of Inszone Insurance Services, as the chair of the board of the National Council on Compensation Insurance (NCCI), as a board advisor for Vault Insurance, and on the Board of Trustees of the Connecticut Science Center. Ms. Bush holds a Bachelor of Arts degree in political science from the University of Missouri–St. Louis.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As a non-employee director of the Board, Ms. Bush will receive standard cash and equity compensation for non-employee directors serving on the Board and the Board’s committee(s), in accordance with the Company’s policies, prorated for the duration of her service between the Company’s 2026 and 2027 annual meetings, as described in the Company’s most recent definitive Proxy Statement filed with the Securities and Exchange Commission on April 16, 2026, under the heading “Director Compensation.”</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There are no arrangements or understandings between Ms. Bush and any other person pursuant to which she was named as a director of EHI. Ms. Bush has no family relationship with EHI’s directors or executive officers, or any persons nominated or chosen by EHI to be a director or executive officer. Ms. Bush has not entered into any other material plan, contract, arrangement or amendment in connection with her appointment to the Board.</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Ms. Bush is not a party to any transaction required to be disclosed pursuant to Item 404(a) of Regulation S-K.</w:t>
      </w:r>
    </w:p>
    <w:p>
      <w:pPr>
        <w:pStyle w:val="TextBody"/>
        <w:bidi w:val="0"/>
        <w:spacing w:before="60" w:after="120"/>
        <w:jc w:val="both"/>
        <w:rPr/>
      </w:pPr>
      <w:r>
        <w:rPr/>
      </w:r>
    </w:p>
    <w:p>
      <w:pPr>
        <w:pStyle w:val="TextBody"/>
        <w:bidi w:val="0"/>
        <w:spacing w:lineRule="auto" w:line="288" w:before="60" w:after="120"/>
        <w:jc w:val="center"/>
        <w:rPr>
          <w:rFonts w:ascii="Times New Roman;serif" w:hAnsi="Times New Roman;serif"/>
          <w:b/>
          <w:color w:val="000000"/>
          <w:sz w:val="20"/>
        </w:rPr>
      </w:pPr>
      <w:r>
        <w:rPr>
          <w:rFonts w:ascii="Times New Roman;serif" w:hAnsi="Times New Roman;serif"/>
          <w:b/>
          <w:color w:val="000000"/>
          <w:sz w:val="20"/>
        </w:rPr>
        <w:t>Section 7 – Regulation FD</w:t>
      </w:r>
    </w:p>
    <w:p>
      <w:pPr>
        <w:pStyle w:val="TextBody"/>
        <w:bidi w:val="0"/>
        <w:spacing w:before="60" w:after="120"/>
        <w:jc w:val="center"/>
        <w:rPr/>
      </w:pPr>
      <w:r>
        <w:rPr/>
      </w:r>
    </w:p>
    <w:p>
      <w:pPr>
        <w:pStyle w:val="TextBody"/>
        <w:bidi w:val="0"/>
        <w:spacing w:lineRule="auto" w:line="288" w:before="60" w:after="12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On July 1, 2026, EHI issued a press release regarding the appointment of Ms. Bush to the Board. The press release is attached as Exhibit 99.1 hereto and is incorporated into this item by reference.</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information in the preceding paragraph, as well as Exhibit 99.1 hereto, is being “furnished” pursuant to Item 7.01 and shall not be deemed to be “filed” for purposes of Section 18 of the Securities Exchange Act of 1934, as amended, or otherwise subject to the liabilities of that section, and is not incorporated by reference into any Company filing, whether made before or after the date hereof, except as shall be expressly set forth by specific reference in such filing and regardless of any general incorporation language in such filing.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120"/>
        <w:jc w:val="center"/>
        <w:rPr>
          <w:rFonts w:ascii="Times New Roman;serif" w:hAnsi="Times New Roman;serif"/>
          <w:b/>
          <w:color w:val="000000"/>
          <w:sz w:val="20"/>
        </w:rPr>
      </w:pPr>
      <w:r>
        <w:rPr>
          <w:rFonts w:ascii="Times New Roman;serif" w:hAnsi="Times New Roman;serif"/>
          <w:b/>
          <w:color w:val="000000"/>
          <w:sz w:val="20"/>
        </w:rPr>
        <w:t>Section 9 – Financial Statements and Exhibits</w:t>
      </w:r>
    </w:p>
    <w:p>
      <w:pPr>
        <w:pStyle w:val="TextBody"/>
        <w:bidi w:val="0"/>
        <w:spacing w:before="60" w:after="120"/>
        <w:jc w:val="center"/>
        <w:rPr/>
      </w:pPr>
      <w:r>
        <w:rPr/>
      </w:r>
    </w:p>
    <w:p>
      <w:pPr>
        <w:pStyle w:val="TextBody"/>
        <w:bidi w:val="0"/>
        <w:spacing w:lineRule="auto" w:line="288" w:before="60" w:after="12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tbl>
      <w:tblPr>
        <w:tblW w:w="10092"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2537"/>
        <w:gridCol w:w="2537"/>
        <w:gridCol w:w="3611"/>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7" w:type="dxa"/>
            <w:tcBorders/>
            <w:vAlign w:val="center"/>
          </w:tcPr>
          <w:p>
            <w:pPr>
              <w:pStyle w:val="TableContents"/>
              <w:bidi w:val="0"/>
              <w:spacing w:before="0" w:after="283"/>
              <w:jc w:val="left"/>
              <w:rPr>
                <w:sz w:val="4"/>
                <w:szCs w:val="4"/>
              </w:rPr>
            </w:pPr>
            <w:r>
              <w:rPr>
                <w:sz w:val="4"/>
                <w:szCs w:val="4"/>
              </w:rPr>
            </w:r>
          </w:p>
        </w:tc>
        <w:tc>
          <w:tcPr>
            <w:tcW w:w="2537" w:type="dxa"/>
            <w:tcBorders/>
            <w:vAlign w:val="center"/>
          </w:tcPr>
          <w:p>
            <w:pPr>
              <w:pStyle w:val="TableContents"/>
              <w:bidi w:val="0"/>
              <w:spacing w:before="0" w:after="283"/>
              <w:jc w:val="left"/>
              <w:rPr>
                <w:sz w:val="4"/>
                <w:szCs w:val="4"/>
              </w:rPr>
            </w:pPr>
            <w:r>
              <w:rPr>
                <w:sz w:val="4"/>
                <w:szCs w:val="4"/>
              </w:rPr>
            </w:r>
          </w:p>
        </w:tc>
        <w:tc>
          <w:tcPr>
            <w:tcW w:w="3611"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x991_pressreleasex712026.htm">
              <w:r>
                <w:rPr>
                  <w:rStyle w:val="InternetLink"/>
                  <w:rFonts w:ascii="Times New Roman;serif" w:hAnsi="Times New Roman;serif"/>
                  <w:b w:val="false"/>
                  <w:color w:val="000080"/>
                  <w:sz w:val="20"/>
                  <w:u w:val="single"/>
                </w:rPr>
                <w:t xml:space="preserve">Employers Holdings, Inc. press release, dated </w:t>
              </w:r>
            </w:hyperlink>
            <w:hyperlink w:anchor="ex991_pressreleasex712026.htm">
              <w:r>
                <w:rPr>
                  <w:rStyle w:val="InternetLink"/>
                  <w:rFonts w:ascii="Times New Roman;serif" w:hAnsi="Times New Roman;serif"/>
                  <w:b w:val="false"/>
                  <w:color w:val="000080"/>
                  <w:sz w:val="20"/>
                  <w:u w:val="single"/>
                </w:rPr>
                <w:t>July</w:t>
              </w:r>
            </w:hyperlink>
            <w:hyperlink w:anchor="ex991_pressreleasex712026.htm">
              <w:r>
                <w:rPr>
                  <w:rStyle w:val="InternetLink"/>
                  <w:rFonts w:ascii="Times New Roman;serif" w:hAnsi="Times New Roman;serif"/>
                  <w:b w:val="false"/>
                  <w:color w:val="000080"/>
                  <w:sz w:val="20"/>
                  <w:u w:val="single"/>
                </w:rPr>
                <w:t xml:space="preserve"> </w:t>
              </w:r>
            </w:hyperlink>
            <w:hyperlink w:anchor="ex991_pressreleasex712026.htm">
              <w:r>
                <w:rPr>
                  <w:rStyle w:val="InternetLink"/>
                  <w:rFonts w:ascii="Times New Roman;serif" w:hAnsi="Times New Roman;serif"/>
                  <w:b w:val="false"/>
                  <w:color w:val="000080"/>
                  <w:sz w:val="20"/>
                  <w:u w:val="single"/>
                </w:rPr>
                <w:t>1</w:t>
              </w:r>
            </w:hyperlink>
            <w:hyperlink w:anchor="ex991_pressreleasex712026.htm">
              <w:r>
                <w:rPr>
                  <w:rStyle w:val="InternetLink"/>
                  <w:rFonts w:ascii="Times New Roman;serif" w:hAnsi="Times New Roman;serif"/>
                  <w:b w:val="false"/>
                  <w:color w:val="000080"/>
                  <w:sz w:val="20"/>
                  <w:u w:val="single"/>
                </w:rPr>
                <w:t>, 202</w:t>
              </w:r>
            </w:hyperlink>
            <w:hyperlink w:anchor="ex991_pressreleasex712026.htm">
              <w:r>
                <w:rPr>
                  <w:rStyle w:val="InternetLink"/>
                  <w:rFonts w:ascii="Times New Roman;serif" w:hAnsi="Times New Roman;serif"/>
                  <w:b w:val="false"/>
                  <w:color w:val="000080"/>
                  <w:sz w:val="20"/>
                  <w:u w:val="single"/>
                </w:rPr>
                <w:t>6</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 contained in Exhibit 101)</w:t>
            </w:r>
          </w:p>
        </w:tc>
      </w:tr>
    </w:tbl>
    <w:p>
      <w:pPr>
        <w:pStyle w:val="TextBody"/>
        <w:bidi w:val="0"/>
        <w:spacing w:before="60" w:after="120"/>
        <w:jc w:val="center"/>
        <w:rPr/>
      </w:pPr>
      <w:r>
        <w:rPr/>
      </w:r>
    </w:p>
    <w:p>
      <w:pPr>
        <w:pStyle w:val="TextBody"/>
        <w:bidi w:val="0"/>
        <w:spacing w:before="60" w:after="120"/>
        <w:jc w:val="center"/>
        <w:rPr/>
      </w:pPr>
      <w:r>
        <w:rPr/>
      </w:r>
    </w:p>
    <w:p>
      <w:pPr>
        <w:pStyle w:val="TextBody"/>
        <w:bidi w:val="0"/>
        <w:spacing w:before="60" w:after="120"/>
        <w:jc w:val="center"/>
        <w:rPr/>
      </w:pPr>
      <w:r>
        <w:rPr/>
      </w:r>
    </w:p>
    <w:p>
      <w:pPr>
        <w:pStyle w:val="TextBody"/>
        <w:bidi w:val="0"/>
        <w:spacing w:lineRule="auto" w:line="276" w:before="60" w:after="12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60" w:after="120"/>
        <w:jc w:val="center"/>
        <w:rPr/>
      </w:pPr>
      <w:r>
        <w:rPr/>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4978" w:type="dxa"/>
        <w:jc w:val="left"/>
        <w:tblInd w:w="0" w:type="dxa"/>
        <w:tblLayout w:type="fixed"/>
        <w:tblCellMar>
          <w:top w:w="28" w:type="dxa"/>
          <w:left w:w="28" w:type="dxa"/>
          <w:bottom w:w="28" w:type="dxa"/>
          <w:right w:w="28" w:type="dxa"/>
        </w:tblCellMar>
      </w:tblPr>
      <w:tblGrid>
        <w:gridCol w:w="507"/>
        <w:gridCol w:w="445"/>
        <w:gridCol w:w="445"/>
        <w:gridCol w:w="445"/>
        <w:gridCol w:w="445"/>
        <w:gridCol w:w="456"/>
        <w:gridCol w:w="655"/>
        <w:gridCol w:w="655"/>
        <w:gridCol w:w="925"/>
      </w:tblGrid>
      <w:tr>
        <w:trPr/>
        <w:tc>
          <w:tcPr>
            <w:tcW w:w="507"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r>
      <w:tr>
        <w:trPr/>
        <w:tc>
          <w:tcPr>
            <w:tcW w:w="2743" w:type="dxa"/>
            <w:gridSpan w:val="6"/>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serif" w:hAnsi="Times New Roman;serif"/>
                <w:b w:val="false"/>
                <w:sz w:val="20"/>
              </w:rPr>
              <w:br/>
            </w:r>
            <w:r>
              <w:rPr>
                <w:rFonts w:ascii="Times New Roman;serif" w:hAnsi="Times New Roman;serif"/>
                <w:b w:val="false"/>
                <w:color w:val="000000"/>
                <w:sz w:val="20"/>
              </w:rPr>
              <w:t>EMPLOYERS HOLDINGS, INC.</w:t>
            </w:r>
          </w:p>
        </w:tc>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1, 2026</w:t>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A. Pedraja</w:t>
            </w:r>
          </w:p>
        </w:tc>
      </w:tr>
      <w:tr>
        <w:trPr/>
        <w:tc>
          <w:tcPr>
            <w:tcW w:w="1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A. Pedraja</w:t>
            </w:r>
          </w:p>
        </w:tc>
      </w:tr>
      <w:tr>
        <w:trPr/>
        <w:tc>
          <w:tcPr>
            <w:tcW w:w="1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w:t>
            </w:r>
          </w:p>
        </w:tc>
      </w:tr>
      <w:tr>
        <w:trPr/>
        <w:tc>
          <w:tcPr>
            <w:tcW w:w="1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120"/>
        <w:jc w:val="center"/>
        <w:rPr/>
      </w:pPr>
      <w:r>
        <w:rPr/>
      </w:r>
    </w:p>
    <w:p>
      <w:pPr>
        <w:pStyle w:val="TextBody"/>
        <w:bidi w:val="0"/>
        <w:spacing w:before="60" w:after="120"/>
        <w:jc w:val="center"/>
        <w:rPr/>
      </w:pPr>
      <w:r>
        <w:rPr/>
      </w:r>
    </w:p>
    <w:p>
      <w:pPr>
        <w:pStyle w:val="TextBody"/>
        <w:bidi w:val="0"/>
        <w:spacing w:before="60" w:after="283"/>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pPr>
      <w:r>
        <w:rPr/>
        <w:drawing>
          <wp:inline distT="0" distB="0" distL="0" distR="0">
            <wp:extent cx="1905000" cy="4381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905000" cy="438150"/>
                    </a:xfrm>
                    <a:prstGeom prst="rect">
                      <a:avLst/>
                    </a:prstGeom>
                  </pic:spPr>
                </pic:pic>
              </a:graphicData>
            </a:graphic>
          </wp:inline>
        </w:drawing>
      </w:r>
      <w:r>
        <w:rPr>
          <w:color w:val="000000"/>
        </w:rPr>
        <w:t xml:space="preserve"> </w:t>
      </w:r>
      <w:r>
        <w:rPr>
          <w:rFonts w:ascii="Times New Roman;serif" w:hAnsi="Times New Roman;serif"/>
          <w:b/>
          <w:color w:val="000000"/>
          <w:sz w:val="20"/>
        </w:rPr>
        <w:t>Exhibit 99.1</w:t>
      </w:r>
    </w:p>
    <w:p>
      <w:pPr>
        <w:pStyle w:val="TextBody"/>
        <w:bidi w:val="0"/>
        <w:spacing w:lineRule="auto" w:line="288" w:before="0" w:after="0"/>
        <w:jc w:val="right"/>
        <w:rPr>
          <w:rFonts w:ascii="Times New Roman;serif" w:hAnsi="Times New Roman;serif"/>
          <w:b w:val="false"/>
          <w:i/>
          <w:color w:val="000000"/>
          <w:sz w:val="22"/>
        </w:rPr>
      </w:pPr>
      <w:r>
        <w:rPr>
          <w:rFonts w:ascii="Times New Roman;serif" w:hAnsi="Times New Roman;serif"/>
          <w:b w:val="false"/>
          <w:i/>
          <w:color w:val="000000"/>
          <w:sz w:val="22"/>
        </w:rPr>
        <w:t>news release</w:t>
      </w:r>
    </w:p>
    <w:p>
      <w:pPr>
        <w:pStyle w:val="TextBody"/>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For Immediate Release</w:t>
      </w:r>
    </w:p>
    <w:p>
      <w:pPr>
        <w:pStyle w:val="TextBody"/>
        <w:bidi w:val="0"/>
        <w:spacing w:before="0" w:after="120"/>
        <w:jc w:val="righ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Employers Holdings, Inc. Appoints Stephanie C. Bush to Board of Directors</w:t>
      </w:r>
    </w:p>
    <w:p>
      <w:pPr>
        <w:pStyle w:val="TextBody"/>
        <w:bidi w:val="0"/>
        <w:spacing w:before="0" w:after="0"/>
        <w:jc w:val="center"/>
        <w:rPr/>
      </w:pPr>
      <w:r>
        <w:rPr/>
      </w:r>
    </w:p>
    <w:p>
      <w:pPr>
        <w:pStyle w:val="TextBody"/>
        <w:bidi w:val="0"/>
        <w:spacing w:lineRule="auto" w:line="288" w:before="60" w:after="120"/>
        <w:jc w:val="both"/>
        <w:rPr/>
      </w:pPr>
      <w:r>
        <w:rPr>
          <w:rFonts w:ascii="Times New Roman;serif" w:hAnsi="Times New Roman;serif"/>
          <w:b/>
          <w:color w:val="000000"/>
          <w:sz w:val="20"/>
        </w:rPr>
        <w:t>Reno, Nev., July 1, 2026 (GLOBE NEWSWIRE) -- Employers Holdings, Inc. (NYSE:EIG),</w:t>
      </w:r>
      <w:r>
        <w:rPr>
          <w:color w:val="000000"/>
        </w:rPr>
        <w:t xml:space="preserve"> </w:t>
      </w:r>
      <w:r>
        <w:rPr>
          <w:rFonts w:ascii="Times New Roman;serif" w:hAnsi="Times New Roman;serif"/>
          <w:b w:val="false"/>
          <w:color w:val="000000"/>
          <w:sz w:val="20"/>
        </w:rPr>
        <w:t>today announced that on June 25, 2026, Stephanie C. Bush was elected to the Board of Directors, with her term of service commencing on July 1, 2026.</w:t>
      </w:r>
    </w:p>
    <w:p>
      <w:pPr>
        <w:pStyle w:val="TextBody"/>
        <w:bidi w:val="0"/>
        <w:spacing w:lineRule="auto" w:line="288" w:before="60" w:after="120"/>
        <w:jc w:val="both"/>
        <w:rPr/>
      </w:pPr>
      <w:r>
        <w:rPr>
          <w:color w:val="000000"/>
        </w:rPr>
        <w:t>“</w:t>
      </w:r>
      <w:r>
        <w:rPr>
          <w:rFonts w:ascii="Times New Roman;serif" w:hAnsi="Times New Roman;serif"/>
          <w:b w:val="false"/>
          <w:color w:val="000000"/>
          <w:sz w:val="20"/>
        </w:rPr>
        <w:t>Stephanie</w:t>
      </w:r>
      <w:r>
        <w:rPr>
          <w:color w:val="000000"/>
          <w:shd w:fill="FFFFFF" w:val="clear"/>
        </w:rPr>
        <w:t>’</w:t>
      </w:r>
      <w:r>
        <w:rPr>
          <w:rFonts w:ascii="Times New Roman;serif" w:hAnsi="Times New Roman;serif"/>
          <w:b w:val="false"/>
          <w:color w:val="000000"/>
          <w:sz w:val="20"/>
        </w:rPr>
        <w:t>s decades of leadership across underwriting, product, and distribution at some of the nation</w:t>
      </w:r>
      <w:r>
        <w:rPr>
          <w:color w:val="000000"/>
          <w:shd w:fill="FFFFFF" w:val="clear"/>
        </w:rPr>
        <w:t>’</w:t>
      </w:r>
      <w:r>
        <w:rPr>
          <w:rFonts w:ascii="Times New Roman;serif" w:hAnsi="Times New Roman;serif"/>
          <w:b w:val="false"/>
          <w:color w:val="000000"/>
          <w:sz w:val="20"/>
        </w:rPr>
        <w:t>s leading insurers brings exceptional depth to our Board,” said Katherine Antonello, President and Chief Executive Officer of Employers Holdings, Inc. “Her perspective on small commercial lines and her broad experience across the industry will be a tremendous asset to EMPLOYERS as we continue to grow and serve our policyholders.”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Ms. Bush retired from The Hartford Insurance Group (“The Hartford”) in March 2024 after serving in roles of increasing responsibility in sales, underwriting and product management spanning over 30 years, most recently as Executive Vice President and Head of Small Commercial and Personal Lines Insurance. From 2008 to 2012, she led the Travelers Personal Insurance Product Management organization as Senior Vice President of Product Management before returning to The Hartford in 2013.</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Ms. Bush also serves on the insurance advisory board for privately-held Lightyear Capital and the boards of privately-held CUNA Mutual Holding Company (TruStage), privately-held Costero Holdings Limited, privately-held Costero Brokers Limited, and Easterseals Midwest. She previously served on the board of Inszone Insurance Services, as the chair of the board of the National Council on Compensation Insurance (NCCI), as a board advisor for Vault Insurance, and on the Board of Trustees of the Connecticut Science Center. Ms. Bush holds a Bachelor of Arts degree in political science from the University of Missouri–St. Louis.</w:t>
      </w:r>
    </w:p>
    <w:p>
      <w:pPr>
        <w:pStyle w:val="TextBody"/>
        <w:bidi w:val="0"/>
        <w:spacing w:before="60" w:after="120"/>
        <w:jc w:val="both"/>
        <w:rPr/>
      </w:pPr>
      <w:r>
        <w:rPr/>
      </w:r>
    </w:p>
    <w:p>
      <w:pPr>
        <w:pStyle w:val="TextBody"/>
        <w:bidi w:val="0"/>
        <w:spacing w:lineRule="auto" w:line="288" w:before="60" w:after="120"/>
        <w:jc w:val="both"/>
        <w:rPr>
          <w:rFonts w:ascii="Times New Roman;serif" w:hAnsi="Times New Roman;serif"/>
          <w:b/>
          <w:color w:val="000000"/>
          <w:sz w:val="20"/>
        </w:rPr>
      </w:pPr>
      <w:r>
        <w:rPr>
          <w:rFonts w:ascii="Times New Roman;serif" w:hAnsi="Times New Roman;serif"/>
          <w:b/>
          <w:color w:val="000000"/>
          <w:sz w:val="20"/>
        </w:rPr>
        <w:t>About EMPLOYERS</w:t>
      </w:r>
    </w:p>
    <w:p>
      <w:pPr>
        <w:pStyle w:val="TextBody"/>
        <w:bidi w:val="0"/>
        <w:spacing w:lineRule="auto" w:line="288" w:before="60" w:after="120"/>
        <w:jc w:val="both"/>
        <w:rPr/>
      </w:pPr>
      <w:r>
        <w:rPr>
          <w:rFonts w:ascii="Times New Roman;serif" w:hAnsi="Times New Roman;serif"/>
          <w:b w:val="false"/>
          <w:color w:val="000000"/>
          <w:sz w:val="20"/>
        </w:rPr>
        <w:t xml:space="preserve">Employers Holdings, Inc. (NYSE:EIG), </w:t>
      </w:r>
      <w:r>
        <w:rPr>
          <w:rFonts w:ascii="Times New Roman;serif" w:hAnsi="Times New Roman;serif"/>
          <w:b w:val="false"/>
          <w:color w:val="000000"/>
          <w:sz w:val="20"/>
          <w:shd w:fill="FFFFFF" w:val="clear"/>
        </w:rPr>
        <w:t>is a holding company with subsidiaries that are specialty providers of workers’ compensation insurance, excess workers’ compensation, and related services (collectively “EMPLOYERS®”) focused on small and mid-sized businesses engaged in lower hazard industries with its guaranteed cost product and self-insured enterprises with its excess workers’ compensation product. EMPLOYERS leverages over a century of experience to deliver comprehensive coverage solutions that meet the unique needs of its customers. Drawing from its long history and extensive knowledge, EMPLOYERS empowers businesses by protecting their most valuable asset – their employees – through exceptional claims management, loss control, and risk management services, to help businesses create safer work environments.</w:t>
      </w:r>
    </w:p>
    <w:p>
      <w:pPr>
        <w:pStyle w:val="TextBody"/>
        <w:bidi w:val="0"/>
        <w:spacing w:lineRule="auto" w:line="288" w:before="6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EMPLOYERS is also proud to offer Cerity®, which is focused on providing digital-first, direct-to-consumer workers’ compensation insurance solutions with fast and affordable coverage options through a user-friendly online platform.</w:t>
      </w:r>
    </w:p>
    <w:p>
      <w:pPr>
        <w:pStyle w:val="TextBody"/>
        <w:bidi w:val="0"/>
        <w:spacing w:lineRule="auto" w:line="288" w:before="60" w:after="120"/>
        <w:jc w:val="both"/>
        <w:rPr/>
      </w:pPr>
      <w:r>
        <w:rPr>
          <w:rFonts w:ascii="Times New Roman;serif" w:hAnsi="Times New Roman;serif"/>
          <w:b w:val="false"/>
          <w:color w:val="000000"/>
          <w:sz w:val="20"/>
          <w:shd w:fill="FFFFFF" w:val="clear"/>
        </w:rPr>
        <w:t>EMPLOYERS</w:t>
      </w:r>
      <w:r>
        <w:rPr>
          <w:color w:val="000000"/>
        </w:rPr>
        <w:t xml:space="preserve"> </w:t>
      </w:r>
      <w:r>
        <w:rPr>
          <w:rFonts w:ascii="Times New Roman;serif" w:hAnsi="Times New Roman;serif"/>
          <w:b w:val="false"/>
          <w:color w:val="000000"/>
          <w:sz w:val="20"/>
        </w:rPr>
        <w:t xml:space="preserve">operates throughout the United States, apart from four states that are served exclusively by their state funds. </w:t>
      </w:r>
      <w:r>
        <w:rPr>
          <w:rFonts w:ascii="Times New Roman;serif" w:hAnsi="Times New Roman;serif"/>
          <w:b w:val="false"/>
          <w:color w:val="000000"/>
          <w:sz w:val="20"/>
          <w:shd w:fill="FFFFFF" w:val="clear"/>
        </w:rPr>
        <w:t>Workers’ Compensation insurance is offered through Employers Insurance Company of Nevada, Employers</w:t>
      </w:r>
      <w:r>
        <w:rPr>
          <w:color w:val="000000"/>
        </w:rPr>
        <w:t xml:space="preserve"> </w:t>
      </w:r>
      <w:r>
        <w:rPr>
          <w:rFonts w:ascii="Times New Roman;serif" w:hAnsi="Times New Roman;serif"/>
          <w:b w:val="false"/>
          <w:color w:val="000000"/>
          <w:sz w:val="20"/>
          <w:shd w:fill="FFFFFF" w:val="clear"/>
        </w:rPr>
        <w:t>Compensation Insurance Company, Employers Preferred Insurance Company, Employers Assurance</w:t>
      </w:r>
      <w:r>
        <w:rPr>
          <w:color w:val="000000"/>
        </w:rPr>
        <w:t xml:space="preserve"> </w:t>
      </w:r>
      <w:r>
        <w:rPr>
          <w:rFonts w:ascii="Times New Roman;serif" w:hAnsi="Times New Roman;serif"/>
          <w:b w:val="false"/>
          <w:color w:val="000000"/>
          <w:sz w:val="20"/>
          <w:shd w:fill="FFFFFF" w:val="clear"/>
        </w:rPr>
        <w:t>Company, and Cerity Insurance Company, and Excess Workers’ Compensation is offered through Employers Assurance Company. Each of EMPLOYERS insurance subsidiaries is rated A (Excellent) by AM Best. Not all companies do</w:t>
      </w:r>
      <w:r>
        <w:rPr>
          <w:color w:val="000000"/>
        </w:rPr>
        <w:t xml:space="preserve"> </w:t>
      </w:r>
      <w:r>
        <w:rPr>
          <w:rFonts w:ascii="Times New Roman;serif" w:hAnsi="Times New Roman;serif"/>
          <w:b w:val="false"/>
          <w:color w:val="000000"/>
          <w:sz w:val="20"/>
          <w:shd w:fill="FFFFFF" w:val="clear"/>
        </w:rPr>
        <w:t>business in all jurisdictions. EIG Services, Inc., and Cerity Services, Inc., are subsidiaries of Employers</w:t>
      </w:r>
      <w:r>
        <w:rPr>
          <w:color w:val="000000"/>
        </w:rPr>
        <w:t xml:space="preserve"> </w:t>
      </w:r>
      <w:r>
        <w:rPr>
          <w:rFonts w:ascii="Times New Roman;serif" w:hAnsi="Times New Roman;serif"/>
          <w:b w:val="false"/>
          <w:color w:val="000000"/>
          <w:sz w:val="20"/>
          <w:shd w:fill="FFFFFF" w:val="clear"/>
        </w:rPr>
        <w:t>Holdings, Inc. EMPLOYERS® is a registered trademark of EIG Services, Inc., and Cerity® is a registered</w:t>
      </w:r>
      <w:r>
        <w:rPr>
          <w:color w:val="000000"/>
        </w:rPr>
        <w:t xml:space="preserve"> </w:t>
      </w:r>
      <w:r>
        <w:rPr>
          <w:rFonts w:ascii="Times New Roman;serif" w:hAnsi="Times New Roman;serif"/>
          <w:b w:val="false"/>
          <w:color w:val="000000"/>
          <w:sz w:val="20"/>
          <w:shd w:fill="FFFFFF" w:val="clear"/>
        </w:rPr>
        <w:t xml:space="preserve">trademark of Cerity Services, Inc. For more information, please visit </w:t>
      </w:r>
      <w:r>
        <w:rPr>
          <w:rFonts w:ascii="Times New Roman;serif" w:hAnsi="Times New Roman;serif"/>
          <w:b w:val="false"/>
          <w:color w:val="0563C1"/>
          <w:sz w:val="20"/>
          <w:u w:val="single"/>
        </w:rPr>
        <w:t>www.employers.com</w:t>
      </w:r>
      <w:r>
        <w:rPr>
          <w:rFonts w:ascii="Times New Roman;serif" w:hAnsi="Times New Roman;serif"/>
          <w:b w:val="false"/>
          <w:color w:val="000000"/>
          <w:sz w:val="20"/>
        </w:rPr>
        <w:t xml:space="preserve">, </w:t>
      </w:r>
      <w:r>
        <w:rPr>
          <w:rFonts w:ascii="Times New Roman;serif" w:hAnsi="Times New Roman;serif"/>
          <w:b w:val="false"/>
          <w:color w:val="0563C1"/>
          <w:sz w:val="20"/>
          <w:u w:val="single"/>
        </w:rPr>
        <w:t>www.employers.com/excess-workers-compensation/</w:t>
      </w:r>
      <w:r>
        <w:rPr>
          <w:rFonts w:ascii="Times New Roman;serif" w:hAnsi="Times New Roman;serif"/>
          <w:b w:val="false"/>
          <w:color w:val="000000"/>
          <w:sz w:val="20"/>
          <w:shd w:fill="FFFFFF" w:val="clear"/>
        </w:rPr>
        <w:t xml:space="preserve">, and </w:t>
      </w:r>
      <w:r>
        <w:rPr>
          <w:rFonts w:ascii="Times New Roman;serif" w:hAnsi="Times New Roman;serif"/>
          <w:b w:val="false"/>
          <w:color w:val="0563C1"/>
          <w:sz w:val="20"/>
          <w:u w:val="single"/>
        </w:rPr>
        <w:t>www.cerity.com</w:t>
      </w:r>
      <w:r>
        <w:rPr>
          <w:rFonts w:ascii="Times New Roman;serif" w:hAnsi="Times New Roman;serif"/>
          <w:b w:val="false"/>
          <w:color w:val="000000"/>
          <w:sz w:val="20"/>
        </w:rPr>
        <w:t>.</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60" w:after="120"/>
        <w:jc w:val="both"/>
        <w:rPr>
          <w:rFonts w:ascii="Times New Roman;serif" w:hAnsi="Times New Roman;serif"/>
          <w:b/>
          <w:color w:val="000000"/>
          <w:sz w:val="20"/>
        </w:rPr>
      </w:pPr>
      <w:r>
        <w:rPr>
          <w:rFonts w:ascii="Times New Roman;serif" w:hAnsi="Times New Roman;serif"/>
          <w:b/>
          <w:color w:val="000000"/>
          <w:sz w:val="20"/>
        </w:rPr>
        <w:t>Media Contact: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Kimberly Eye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Vice President, Marketing &amp; Communications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(772) 214-6153</w:t>
      </w:r>
    </w:p>
    <w:p>
      <w:pPr>
        <w:pStyle w:val="TextBody"/>
        <w:bidi w:val="0"/>
        <w:spacing w:lineRule="auto" w:line="288" w:before="0" w:after="0"/>
        <w:jc w:val="both"/>
        <w:rPr>
          <w:rFonts w:ascii="Times New Roman;serif" w:hAnsi="Times New Roman;serif"/>
          <w:b w:val="false"/>
          <w:color w:val="0563C1"/>
          <w:sz w:val="20"/>
          <w:u w:val="single"/>
        </w:rPr>
      </w:pPr>
      <w:r>
        <w:rPr>
          <w:rFonts w:ascii="Times New Roman;serif" w:hAnsi="Times New Roman;serif"/>
          <w:b w:val="false"/>
          <w:color w:val="0563C1"/>
          <w:sz w:val="20"/>
          <w:u w:val="single"/>
        </w:rPr>
        <w:t>keye@employers.com</w:t>
      </w:r>
    </w:p>
    <w:p>
      <w:pPr>
        <w:pStyle w:val="TextBody"/>
        <w:bidi w:val="0"/>
        <w:spacing w:before="0" w:after="0"/>
        <w:jc w:val="both"/>
        <w:rPr/>
      </w:pPr>
      <w:r>
        <w:rPr/>
      </w:r>
    </w:p>
    <w:p>
      <w:pPr>
        <w:pStyle w:val="TextBody"/>
        <w:bidi w:val="0"/>
        <w:spacing w:lineRule="auto" w:line="288" w:before="60" w:after="120"/>
        <w:jc w:val="both"/>
        <w:rPr>
          <w:rFonts w:ascii="Times New Roman;serif" w:hAnsi="Times New Roman;serif"/>
          <w:b/>
          <w:color w:val="000000"/>
          <w:sz w:val="20"/>
        </w:rPr>
      </w:pPr>
      <w:r>
        <w:rPr>
          <w:rFonts w:ascii="Times New Roman;serif" w:hAnsi="Times New Roman;serif"/>
          <w:b/>
          <w:color w:val="000000"/>
          <w:sz w:val="20"/>
        </w:rPr>
        <w:t>Investor Relations Contact: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Michael Pedraja</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Executive Vice President, Chief Financial Officer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(775) 327-2706</w:t>
      </w:r>
    </w:p>
    <w:p>
      <w:pPr>
        <w:pStyle w:val="TextBody"/>
        <w:bidi w:val="0"/>
        <w:spacing w:lineRule="auto" w:line="288" w:before="0" w:after="0"/>
        <w:jc w:val="both"/>
        <w:rPr>
          <w:rFonts w:ascii="Times New Roman;serif" w:hAnsi="Times New Roman;serif"/>
          <w:b w:val="false"/>
          <w:color w:val="0563C1"/>
          <w:sz w:val="20"/>
          <w:u w:val="single"/>
        </w:rPr>
      </w:pPr>
      <w:r>
        <w:rPr>
          <w:rFonts w:ascii="Times New Roman;serif" w:hAnsi="Times New Roman;serif"/>
          <w:b w:val="false"/>
          <w:color w:val="0563C1"/>
          <w:sz w:val="20"/>
          <w:u w:val="single"/>
        </w:rPr>
        <w:t>mpedraja@employers.com</w:t>
      </w:r>
    </w:p>
    <w:p>
      <w:pPr>
        <w:pStyle w:val="TextBody"/>
        <w:bidi w:val="0"/>
        <w:spacing w:before="60" w:after="120"/>
        <w:jc w:val="left"/>
        <w:rPr/>
      </w:pPr>
      <w:r>
        <w:rPr/>
      </w:r>
    </w:p>
    <w:p>
      <w:pPr>
        <w:pStyle w:val="TextBody"/>
        <w:bidi w:val="0"/>
        <w:spacing w:before="6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1563</Words>
  <Characters>8946</Characters>
  <CharactersWithSpaces>10439</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